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
        <w:ind w:right="0" w:firstLine="883" w:firstLineChars="200"/>
        <w:jc w:val="left"/>
        <w:rPr>
          <w:rFonts w:hint="eastAsia" w:ascii="宋体" w:eastAsia="宋体"/>
          <w:b/>
          <w:sz w:val="44"/>
        </w:rPr>
      </w:pPr>
      <w:r>
        <w:rPr>
          <w:rFonts w:hint="eastAsia" w:ascii="宋体" w:eastAsia="宋体"/>
          <w:b/>
          <w:sz w:val="44"/>
          <w:lang w:val="en-US" w:eastAsia="zh-CN"/>
        </w:rPr>
        <w:t>菲尔兹</w:t>
      </w:r>
      <w:r>
        <w:rPr>
          <w:rFonts w:hint="eastAsia" w:ascii="宋体" w:eastAsia="宋体"/>
          <w:b/>
          <w:sz w:val="44"/>
        </w:rPr>
        <w:t>数学系</w:t>
      </w:r>
      <w:r>
        <w:rPr>
          <w:rFonts w:hint="eastAsia" w:ascii="宋体" w:eastAsia="宋体"/>
          <w:b/>
          <w:sz w:val="44"/>
          <w:lang w:val="en-US" w:eastAsia="zh-CN"/>
        </w:rPr>
        <w:t>英才</w:t>
      </w:r>
      <w:r>
        <w:rPr>
          <w:rFonts w:hint="eastAsia" w:ascii="宋体" w:eastAsia="宋体"/>
          <w:b/>
          <w:sz w:val="44"/>
        </w:rPr>
        <w:t>班培养方案及管理办法</w:t>
      </w:r>
    </w:p>
    <w:p>
      <w:pPr>
        <w:pStyle w:val="3"/>
        <w:spacing w:before="8"/>
        <w:ind w:left="0"/>
        <w:rPr>
          <w:rFonts w:ascii="宋体"/>
          <w:b/>
          <w:sz w:val="59"/>
        </w:rPr>
      </w:pPr>
    </w:p>
    <w:p>
      <w:pPr>
        <w:pStyle w:val="2"/>
      </w:pPr>
      <w:r>
        <w:t>一、培养目标</w:t>
      </w:r>
    </w:p>
    <w:p>
      <w:pPr>
        <w:pStyle w:val="3"/>
        <w:spacing w:before="246" w:line="448" w:lineRule="auto"/>
        <w:ind w:right="129" w:firstLine="480"/>
        <w:jc w:val="both"/>
      </w:pPr>
      <w:r>
        <w:t>培养一批在数学特别是基础数学方向顶尖的本科生人才。根据数学学科的特点制定有针对性的人才培养方案，强化班级学生的数学基础，扩展学生的数学视野，为学生未来从事数学专业的科研创新或应用实践奠定更高水平的起点，使学生在国内外具备更强的专业竞争</w:t>
      </w:r>
    </w:p>
    <w:p>
      <w:pPr>
        <w:pStyle w:val="3"/>
        <w:spacing w:before="4"/>
      </w:pPr>
      <w:r>
        <w:t>力。</w:t>
      </w:r>
    </w:p>
    <w:p>
      <w:pPr>
        <w:pStyle w:val="2"/>
        <w:spacing w:before="188"/>
      </w:pPr>
      <w:r>
        <w:t>二、组织原则</w:t>
      </w:r>
    </w:p>
    <w:p>
      <w:pPr>
        <w:pStyle w:val="3"/>
        <w:ind w:left="0"/>
        <w:rPr>
          <w:rFonts w:ascii="黑体"/>
          <w:b/>
          <w:sz w:val="14"/>
        </w:rPr>
      </w:pPr>
    </w:p>
    <w:p>
      <w:pPr>
        <w:pStyle w:val="3"/>
        <w:spacing w:before="67" w:line="448" w:lineRule="auto"/>
        <w:ind w:right="129" w:firstLine="480"/>
      </w:pPr>
      <w:r>
        <w:rPr>
          <w:rFonts w:hint="eastAsia"/>
          <w:lang w:val="en-US" w:eastAsia="zh-CN"/>
        </w:rPr>
        <w:t>英才</w:t>
      </w:r>
      <w:r>
        <w:t>班组织的基本原则是坚持学生参与的自愿性和保证人才选拔的公平性。</w:t>
      </w:r>
      <w:r>
        <w:rPr>
          <w:rFonts w:hint="eastAsia"/>
          <w:lang w:val="en-US" w:eastAsia="zh-CN"/>
        </w:rPr>
        <w:t>英才</w:t>
      </w:r>
      <w:r>
        <w:t>班培养计划原则上以培养学生的数学综合能力为主，强化学生的数学基础，注重因材施教。</w:t>
      </w:r>
    </w:p>
    <w:p>
      <w:pPr>
        <w:pStyle w:val="2"/>
        <w:spacing w:line="332" w:lineRule="exact"/>
      </w:pPr>
      <w:r>
        <w:t>三、负责机构</w:t>
      </w:r>
    </w:p>
    <w:p>
      <w:pPr>
        <w:pStyle w:val="3"/>
        <w:spacing w:before="25" w:line="576" w:lineRule="exact"/>
        <w:ind w:right="66" w:firstLine="480"/>
      </w:pPr>
      <w:r>
        <w:rPr>
          <w:rFonts w:hint="eastAsia"/>
          <w:lang w:val="en-US" w:eastAsia="zh-CN"/>
        </w:rPr>
        <w:t>英才</w:t>
      </w:r>
      <w:r>
        <w:t>班的管理负责机构为</w:t>
      </w:r>
      <w:r>
        <w:rPr>
          <w:rFonts w:hint="eastAsia"/>
          <w:lang w:val="en-US" w:eastAsia="zh-CN"/>
        </w:rPr>
        <w:t>英才</w:t>
      </w:r>
      <w:r>
        <w:t>班管理委员会。该委员会负责本班学生的选拔，日常管理及与数学系和学校的沟通工作。</w:t>
      </w:r>
      <w:r>
        <w:rPr>
          <w:rFonts w:hint="eastAsia"/>
          <w:lang w:val="en-US" w:eastAsia="zh-CN"/>
        </w:rPr>
        <w:t>英才</w:t>
      </w:r>
      <w:r>
        <w:t xml:space="preserve">班管理委员会由数学系教师 </w:t>
      </w:r>
      <w:r>
        <w:rPr>
          <w:rFonts w:hint="eastAsia" w:ascii="Arial Unicode MS" w:eastAsia="Arial Unicode MS"/>
        </w:rPr>
        <w:t xml:space="preserve">2-3 </w:t>
      </w:r>
      <w:r>
        <w:t>人组成，在确保每名教</w:t>
      </w:r>
    </w:p>
    <w:p>
      <w:pPr>
        <w:pStyle w:val="3"/>
        <w:spacing w:before="173" w:line="357" w:lineRule="auto"/>
        <w:ind w:right="328"/>
      </w:pPr>
      <w:r>
        <w:rPr>
          <w:spacing w:val="-5"/>
        </w:rPr>
        <w:t xml:space="preserve">师成员在其任内工作至少 </w:t>
      </w:r>
      <w:r>
        <w:rPr>
          <w:rFonts w:hint="eastAsia" w:ascii="Arial Unicode MS" w:eastAsia="Arial Unicode MS"/>
        </w:rPr>
        <w:t xml:space="preserve">2 </w:t>
      </w:r>
      <w:r>
        <w:rPr>
          <w:spacing w:val="-7"/>
        </w:rPr>
        <w:t xml:space="preserve">年的基础上，每年更新 </w:t>
      </w:r>
      <w:r>
        <w:rPr>
          <w:rFonts w:hint="eastAsia" w:ascii="Arial Unicode MS" w:eastAsia="Arial Unicode MS"/>
        </w:rPr>
        <w:t xml:space="preserve">1 </w:t>
      </w:r>
      <w:r>
        <w:rPr>
          <w:spacing w:val="-1"/>
        </w:rPr>
        <w:t>人。</w:t>
      </w:r>
      <w:r>
        <w:rPr>
          <w:rFonts w:hint="eastAsia"/>
          <w:spacing w:val="-1"/>
          <w:lang w:val="en-US" w:eastAsia="zh-CN"/>
        </w:rPr>
        <w:t>英才</w:t>
      </w:r>
      <w:r>
        <w:rPr>
          <w:spacing w:val="-1"/>
        </w:rPr>
        <w:t>班管理委员会成员由数学系</w:t>
      </w:r>
      <w:r>
        <w:t>教师自愿担任或数学系主任任命的方式产生。</w:t>
      </w:r>
    </w:p>
    <w:p>
      <w:pPr>
        <w:pStyle w:val="2"/>
        <w:spacing w:before="39"/>
      </w:pPr>
      <w:r>
        <w:t>三、选拔方式</w:t>
      </w:r>
    </w:p>
    <w:p>
      <w:pPr>
        <w:pStyle w:val="3"/>
        <w:spacing w:before="246"/>
        <w:ind w:left="593"/>
        <w:rPr>
          <w:sz w:val="17"/>
        </w:rPr>
      </w:pPr>
      <w:r>
        <w:t>在公平性与自愿性的原则下，</w:t>
      </w:r>
      <w:r>
        <w:rPr>
          <w:rFonts w:hint="eastAsia"/>
          <w:lang w:val="en-US" w:eastAsia="zh-CN"/>
        </w:rPr>
        <w:t>英才</w:t>
      </w:r>
      <w:r>
        <w:t>班的学生由以下三种方式之一选拔产生：</w:t>
      </w:r>
    </w:p>
    <w:p>
      <w:pPr>
        <w:pStyle w:val="3"/>
        <w:spacing w:before="158"/>
        <w:ind w:left="593"/>
        <w:rPr>
          <w:rFonts w:hint="eastAsia"/>
        </w:rPr>
      </w:pPr>
      <w:r>
        <w:rPr>
          <w:rFonts w:hint="eastAsia" w:ascii="Arial Unicode MS" w:eastAsia="Arial Unicode MS"/>
        </w:rPr>
        <w:t>1</w:t>
      </w:r>
      <w:r>
        <w:t>、</w:t>
      </w:r>
      <w:r>
        <w:rPr>
          <w:rFonts w:hint="eastAsia"/>
        </w:rPr>
        <w:t>满足下面三个条件之一并且主动自愿提出申请的，均可直接获得英才班入选资格，经与数学系英才班管理委员会面谈后择优录取：</w:t>
      </w:r>
    </w:p>
    <w:p>
      <w:pPr>
        <w:pStyle w:val="3"/>
        <w:spacing w:before="158"/>
        <w:ind w:left="593"/>
        <w:rPr>
          <w:rFonts w:hint="eastAsia"/>
        </w:rPr>
      </w:pPr>
      <w:r>
        <w:rPr>
          <w:rFonts w:hint="eastAsia"/>
        </w:rPr>
        <w:t>（1）参加中国数学奥林匹克竞赛（国赛，俗称冬令营）并获得国家三等奖及以上；</w:t>
      </w:r>
    </w:p>
    <w:p>
      <w:pPr>
        <w:pStyle w:val="3"/>
        <w:spacing w:before="158"/>
        <w:ind w:left="593"/>
        <w:rPr>
          <w:rFonts w:hint="eastAsia"/>
        </w:rPr>
      </w:pPr>
      <w:r>
        <w:rPr>
          <w:rFonts w:hint="eastAsia"/>
        </w:rPr>
        <w:t>（2）参加高中数学联合竞赛（省赛）并获得省一等奖；</w:t>
      </w:r>
    </w:p>
    <w:p>
      <w:pPr>
        <w:pStyle w:val="3"/>
        <w:spacing w:before="158"/>
        <w:ind w:left="593"/>
        <w:rPr>
          <w:rFonts w:hint="eastAsia"/>
        </w:rPr>
      </w:pPr>
      <w:r>
        <w:rPr>
          <w:rFonts w:hint="eastAsia"/>
        </w:rPr>
        <w:t>（3）高考成绩排名省理科前 1000 名（含）的新生并且每个省份限招收2名。</w:t>
      </w:r>
    </w:p>
    <w:p>
      <w:pPr>
        <w:pStyle w:val="3"/>
        <w:spacing w:before="158"/>
        <w:ind w:left="593"/>
      </w:pPr>
      <w:r>
        <w:rPr>
          <w:rFonts w:hint="eastAsia" w:ascii="Arial Unicode MS" w:eastAsia="Arial Unicode MS"/>
        </w:rPr>
        <w:t>2</w:t>
      </w:r>
      <w:r>
        <w:t>、考试选拔方式</w:t>
      </w:r>
      <w:r>
        <w:rPr>
          <w:rFonts w:hint="eastAsia" w:ascii="Arial Unicode MS" w:eastAsia="Arial Unicode MS"/>
        </w:rPr>
        <w:t xml:space="preserve">. </w:t>
      </w:r>
      <w:r>
        <w:t>符合以下所有报考条件的学生，可以报名参加</w:t>
      </w:r>
      <w:r>
        <w:rPr>
          <w:rFonts w:hint="eastAsia"/>
          <w:lang w:val="en-US" w:eastAsia="zh-CN"/>
        </w:rPr>
        <w:t>英才</w:t>
      </w:r>
      <w:r>
        <w:t>班选拔考试：</w:t>
      </w:r>
    </w:p>
    <w:p>
      <w:pPr>
        <w:pStyle w:val="8"/>
        <w:numPr>
          <w:ilvl w:val="0"/>
          <w:numId w:val="1"/>
        </w:numPr>
        <w:tabs>
          <w:tab w:val="left" w:pos="1209"/>
        </w:tabs>
        <w:spacing w:before="159" w:after="0" w:line="240" w:lineRule="auto"/>
        <w:ind w:left="1208" w:right="0" w:hanging="616"/>
        <w:jc w:val="left"/>
        <w:rPr>
          <w:sz w:val="24"/>
        </w:rPr>
      </w:pPr>
      <w:r>
        <w:rPr>
          <w:sz w:val="24"/>
        </w:rPr>
        <w:t>必须是大一年级学生；</w:t>
      </w:r>
    </w:p>
    <w:p>
      <w:pPr>
        <w:spacing w:after="0" w:line="240" w:lineRule="auto"/>
        <w:jc w:val="left"/>
        <w:rPr>
          <w:sz w:val="24"/>
        </w:rPr>
        <w:sectPr>
          <w:footerReference r:id="rId5" w:type="default"/>
          <w:type w:val="continuous"/>
          <w:pgSz w:w="11910" w:h="16840"/>
          <w:pgMar w:top="1440" w:right="1040" w:bottom="1140" w:left="1020" w:header="720" w:footer="945" w:gutter="0"/>
          <w:pgNumType w:start="1"/>
          <w:cols w:space="720" w:num="1"/>
        </w:sectPr>
      </w:pPr>
    </w:p>
    <w:p>
      <w:pPr>
        <w:pStyle w:val="8"/>
        <w:numPr>
          <w:ilvl w:val="0"/>
          <w:numId w:val="1"/>
        </w:numPr>
        <w:tabs>
          <w:tab w:val="left" w:pos="1209"/>
        </w:tabs>
        <w:spacing w:before="47" w:after="0" w:line="240" w:lineRule="auto"/>
        <w:ind w:left="1208" w:right="0" w:hanging="616"/>
        <w:jc w:val="left"/>
        <w:rPr>
          <w:sz w:val="24"/>
        </w:rPr>
      </w:pPr>
      <w:r>
        <w:rPr>
          <w:sz w:val="24"/>
        </w:rPr>
        <w:t>大一数学基础课中的分析类课程（</w:t>
      </w:r>
      <w:r>
        <w:rPr>
          <w:spacing w:val="-11"/>
          <w:sz w:val="24"/>
        </w:rPr>
        <w:t xml:space="preserve">指数学分析 </w:t>
      </w:r>
      <w:r>
        <w:rPr>
          <w:rFonts w:hint="eastAsia" w:ascii="Arial Unicode MS" w:eastAsia="Arial Unicode MS"/>
          <w:sz w:val="24"/>
        </w:rPr>
        <w:t>I</w:t>
      </w:r>
      <w:r>
        <w:rPr>
          <w:rFonts w:hint="eastAsia" w:ascii="Arial Unicode MS" w:eastAsia="Arial Unicode MS"/>
          <w:spacing w:val="-7"/>
          <w:sz w:val="24"/>
        </w:rPr>
        <w:t xml:space="preserve"> </w:t>
      </w:r>
      <w:r>
        <w:rPr>
          <w:sz w:val="24"/>
        </w:rPr>
        <w:t>或高等数学</w:t>
      </w:r>
      <w:r>
        <w:rPr>
          <w:rFonts w:hint="eastAsia" w:ascii="Arial Unicode MS" w:eastAsia="Arial Unicode MS"/>
          <w:sz w:val="24"/>
        </w:rPr>
        <w:t>(</w:t>
      </w:r>
      <w:r>
        <w:rPr>
          <w:sz w:val="24"/>
        </w:rPr>
        <w:t>上</w:t>
      </w:r>
      <w:r>
        <w:rPr>
          <w:rFonts w:hint="eastAsia" w:ascii="Arial Unicode MS" w:eastAsia="Arial Unicode MS"/>
          <w:sz w:val="24"/>
        </w:rPr>
        <w:t>)A</w:t>
      </w:r>
      <w:r>
        <w:rPr>
          <w:sz w:val="24"/>
        </w:rPr>
        <w:t>）和代数类课程</w:t>
      </w:r>
    </w:p>
    <w:p>
      <w:pPr>
        <w:pStyle w:val="3"/>
        <w:spacing w:before="161" w:line="357" w:lineRule="auto"/>
        <w:ind w:right="97"/>
      </w:pPr>
      <w:r>
        <w:t xml:space="preserve">（指高等代数 </w:t>
      </w:r>
      <w:r>
        <w:rPr>
          <w:rFonts w:hint="eastAsia" w:ascii="Arial Unicode MS" w:eastAsia="Arial Unicode MS"/>
        </w:rPr>
        <w:t xml:space="preserve">I </w:t>
      </w:r>
      <w:r>
        <w:t xml:space="preserve">或者线性代数 </w:t>
      </w:r>
      <w:r>
        <w:rPr>
          <w:rFonts w:hint="eastAsia" w:ascii="Arial Unicode MS" w:eastAsia="Arial Unicode MS"/>
        </w:rPr>
        <w:t>A</w:t>
      </w:r>
      <w:r>
        <w:t>）两门课的期中考试卷面成绩均大于等于</w:t>
      </w:r>
      <w:r>
        <w:rPr>
          <w:rFonts w:hint="eastAsia" w:ascii="Arial Unicode MS" w:eastAsia="Arial Unicode MS"/>
          <w:lang w:val="en-US" w:eastAsia="zh-CN"/>
        </w:rPr>
        <w:t>任课老师指定的分数</w:t>
      </w:r>
      <w:r>
        <w:t xml:space="preserve">，或者不完全满足该条件但有强烈数学兴趣并且有至少 </w:t>
      </w:r>
      <w:r>
        <w:rPr>
          <w:rFonts w:hint="eastAsia" w:ascii="Arial Unicode MS" w:eastAsia="Arial Unicode MS"/>
        </w:rPr>
        <w:t xml:space="preserve">1 </w:t>
      </w:r>
      <w:r>
        <w:t>位数学系老师书面推荐参加选拔考试。</w:t>
      </w:r>
    </w:p>
    <w:p>
      <w:pPr>
        <w:spacing w:before="158" w:line="331" w:lineRule="auto"/>
        <w:ind w:left="112" w:right="211" w:firstLine="480"/>
        <w:jc w:val="left"/>
        <w:rPr>
          <w:b/>
          <w:sz w:val="24"/>
        </w:rPr>
      </w:pPr>
      <w:r>
        <w:rPr>
          <w:sz w:val="24"/>
        </w:rPr>
        <w:t>根据学生的期中考试成绩</w:t>
      </w:r>
      <w:r>
        <w:rPr>
          <w:rFonts w:hint="eastAsia" w:ascii="Arial Unicode MS" w:eastAsia="Arial Unicode MS"/>
          <w:sz w:val="24"/>
        </w:rPr>
        <w:t>(</w:t>
      </w:r>
      <w:r>
        <w:rPr>
          <w:sz w:val="24"/>
        </w:rPr>
        <w:t>按两门课成绩的平均分计算</w:t>
      </w:r>
      <w:r>
        <w:rPr>
          <w:rFonts w:hint="eastAsia" w:ascii="Arial Unicode MS" w:eastAsia="Arial Unicode MS"/>
          <w:sz w:val="24"/>
        </w:rPr>
        <w:t>)</w:t>
      </w:r>
      <w:r>
        <w:rPr>
          <w:sz w:val="24"/>
        </w:rPr>
        <w:t xml:space="preserve">和选拔考试成绩综合评分，择优录取学生 </w:t>
      </w:r>
      <w:r>
        <w:rPr>
          <w:rFonts w:hint="eastAsia" w:ascii="Arial Unicode MS" w:eastAsia="Arial Unicode MS"/>
          <w:sz w:val="24"/>
        </w:rPr>
        <w:t xml:space="preserve">20 </w:t>
      </w:r>
      <w:r>
        <w:rPr>
          <w:sz w:val="24"/>
        </w:rPr>
        <w:t>名左右。</w:t>
      </w:r>
      <w:r>
        <w:rPr>
          <w:b/>
          <w:sz w:val="24"/>
        </w:rPr>
        <w:t xml:space="preserve">期中考试和选拔考试成绩在综合评分时所占的比例分别为 </w:t>
      </w:r>
      <w:r>
        <w:rPr>
          <w:rFonts w:hint="eastAsia" w:ascii="Arial Unicode MS" w:eastAsia="Arial Unicode MS"/>
          <w:b/>
          <w:sz w:val="24"/>
        </w:rPr>
        <w:t xml:space="preserve">30% </w:t>
      </w:r>
      <w:r>
        <w:rPr>
          <w:b/>
          <w:sz w:val="24"/>
        </w:rPr>
        <w:t>和</w:t>
      </w:r>
      <w:r>
        <w:rPr>
          <w:rFonts w:hint="eastAsia" w:ascii="Arial Unicode MS" w:eastAsia="Arial Unicode MS"/>
          <w:b/>
          <w:sz w:val="24"/>
        </w:rPr>
        <w:t>70%</w:t>
      </w:r>
      <w:r>
        <w:rPr>
          <w:b/>
          <w:sz w:val="24"/>
        </w:rPr>
        <w:t>。</w:t>
      </w:r>
    </w:p>
    <w:p>
      <w:pPr>
        <w:pStyle w:val="3"/>
        <w:spacing w:line="340" w:lineRule="auto"/>
        <w:ind w:right="201" w:firstLine="480"/>
        <w:jc w:val="both"/>
      </w:pPr>
      <w:r>
        <w:rPr>
          <w:spacing w:val="-2"/>
        </w:rPr>
        <w:t xml:space="preserve">选拔考试考试时间安排在学生大一上学期期末考试之前，具体日期一般选择在第 </w:t>
      </w:r>
      <w:r>
        <w:rPr>
          <w:rFonts w:hint="eastAsia" w:ascii="Arial Unicode MS" w:eastAsia="Arial Unicode MS"/>
        </w:rPr>
        <w:t xml:space="preserve">13 </w:t>
      </w:r>
      <w:r>
        <w:t>个</w:t>
      </w:r>
      <w:r>
        <w:rPr>
          <w:spacing w:val="-4"/>
        </w:rPr>
        <w:t xml:space="preserve">教学周的周末。选拔考试的内容为数学分析 </w:t>
      </w:r>
      <w:r>
        <w:rPr>
          <w:rFonts w:hint="eastAsia" w:ascii="Arial Unicode MS" w:eastAsia="Arial Unicode MS"/>
        </w:rPr>
        <w:t xml:space="preserve">I </w:t>
      </w:r>
      <w:r>
        <w:rPr>
          <w:spacing w:val="-10"/>
        </w:rPr>
        <w:t xml:space="preserve">和高等代数 </w:t>
      </w:r>
      <w:r>
        <w:rPr>
          <w:rFonts w:hint="eastAsia" w:ascii="Arial Unicode MS" w:eastAsia="Arial Unicode MS"/>
        </w:rPr>
        <w:t xml:space="preserve">I </w:t>
      </w:r>
      <w:r>
        <w:t>课程已经讲授的内容，及初等数学的基础知识。没有选修这两门课程（</w:t>
      </w:r>
      <w:r>
        <w:rPr>
          <w:spacing w:val="-7"/>
        </w:rPr>
        <w:t>例如选修线性代数</w:t>
      </w:r>
      <w:r>
        <w:rPr>
          <w:spacing w:val="-9"/>
        </w:rPr>
        <w:t xml:space="preserve">代替高等代数 </w:t>
      </w:r>
      <w:r>
        <w:rPr>
          <w:rFonts w:hint="eastAsia" w:ascii="Arial Unicode MS" w:eastAsia="Arial Unicode MS"/>
        </w:rPr>
        <w:t>I</w:t>
      </w:r>
      <w:r>
        <w:t>）</w:t>
      </w:r>
      <w:r>
        <w:rPr>
          <w:spacing w:val="-3"/>
        </w:rPr>
        <w:t>的学生，也应</w:t>
      </w:r>
      <w:r>
        <w:t>当按照以上两门课程的课程内容准备考试。必要时学生可向有关授课教师咨询课程内容。</w:t>
      </w:r>
    </w:p>
    <w:p>
      <w:pPr>
        <w:pStyle w:val="3"/>
        <w:spacing w:before="87"/>
        <w:ind w:firstLine="480"/>
        <w:jc w:val="both"/>
      </w:pPr>
      <w:r>
        <w:rPr>
          <w:rFonts w:hint="eastAsia" w:ascii="Arial Unicode MS" w:eastAsia="Arial Unicode MS"/>
          <w:color w:val="auto"/>
          <w:lang w:val="en-US" w:eastAsia="zh-CN"/>
        </w:rPr>
        <w:t>3、</w:t>
      </w:r>
      <w:r>
        <w:t>教师推荐方式</w:t>
      </w:r>
      <w:r>
        <w:rPr>
          <w:rFonts w:hint="eastAsia" w:ascii="Arial Unicode MS" w:eastAsia="Arial Unicode MS"/>
        </w:rPr>
        <w:t xml:space="preserve">. </w:t>
      </w:r>
      <w:r>
        <w:t>学生在大一下、大二上和大二下三个学期中，可以于每个学期结束之</w:t>
      </w:r>
    </w:p>
    <w:p>
      <w:pPr>
        <w:pStyle w:val="3"/>
        <w:spacing w:before="206" w:line="448" w:lineRule="auto"/>
        <w:ind w:right="129"/>
      </w:pPr>
      <w:r>
        <w:rPr>
          <w:rFonts w:hint="eastAsia"/>
          <w:spacing w:val="-1"/>
          <w:lang w:val="en-US" w:eastAsia="zh-CN"/>
        </w:rPr>
        <w:t>后</w:t>
      </w:r>
      <w:r>
        <w:rPr>
          <w:spacing w:val="-1"/>
        </w:rPr>
        <w:t>申请由教师推荐方式加入</w:t>
      </w:r>
      <w:r>
        <w:rPr>
          <w:rFonts w:hint="eastAsia"/>
          <w:spacing w:val="-1"/>
          <w:lang w:val="en-US" w:eastAsia="zh-CN"/>
        </w:rPr>
        <w:t>英才</w:t>
      </w:r>
      <w:r>
        <w:rPr>
          <w:spacing w:val="-1"/>
        </w:rPr>
        <w:t>班。</w:t>
      </w:r>
      <w:r>
        <w:rPr>
          <w:rFonts w:hint="eastAsia"/>
          <w:spacing w:val="-1"/>
          <w:lang w:val="en-US" w:eastAsia="zh-CN"/>
        </w:rPr>
        <w:t>对通过该方式申请加入数学英才班的学生成绩要求如下：成绩单上数学类课程平均</w:t>
      </w:r>
      <w:r>
        <w:rPr>
          <w:rFonts w:hint="eastAsia"/>
          <w:spacing w:val="-1"/>
        </w:rPr>
        <w:t>GPA&gt;3.5，无不及格课程</w:t>
      </w:r>
      <w:r>
        <w:rPr>
          <w:rFonts w:hint="eastAsia"/>
          <w:spacing w:val="-1"/>
          <w:lang w:eastAsia="zh-CN"/>
        </w:rPr>
        <w:t>。</w:t>
      </w:r>
      <w:r>
        <w:rPr>
          <w:spacing w:val="-1"/>
        </w:rPr>
        <w:t>有意愿的学生应主动联系任何一位数学系教师，申请该</w:t>
      </w:r>
      <w:r>
        <w:t>教师推荐加入</w:t>
      </w:r>
      <w:r>
        <w:rPr>
          <w:rFonts w:hint="eastAsia"/>
          <w:lang w:val="en-US" w:eastAsia="zh-CN"/>
        </w:rPr>
        <w:t>英才</w:t>
      </w:r>
      <w:r>
        <w:t>班。如果该教师拒绝推荐，应当明确告知申请学生。如果该教师同意推荐，需要以书面（包括电子邮件）</w:t>
      </w:r>
      <w:r>
        <w:rPr>
          <w:spacing w:val="-1"/>
        </w:rPr>
        <w:t>形式向</w:t>
      </w:r>
      <w:r>
        <w:rPr>
          <w:rFonts w:hint="eastAsia"/>
          <w:spacing w:val="-1"/>
          <w:lang w:val="en-US" w:eastAsia="zh-CN"/>
        </w:rPr>
        <w:t>英才</w:t>
      </w:r>
      <w:r>
        <w:rPr>
          <w:spacing w:val="-1"/>
        </w:rPr>
        <w:t>班管理委员会递交推荐信。推荐信应对学生保密，并且送达日期至少提前于后续学期的开学日期两个星期。教师推荐信需说明推荐理由，</w:t>
      </w:r>
      <w:r>
        <w:t>提供真实客观的评价，并指明该名学生在所推荐</w:t>
      </w:r>
      <w:r>
        <w:rPr>
          <w:rFonts w:hint="eastAsia" w:ascii="Arial Unicode MS" w:eastAsia="Arial Unicode MS"/>
        </w:rPr>
        <w:t>/</w:t>
      </w:r>
      <w:r>
        <w:t>已经推荐学生中的排位次序等情况。</w:t>
      </w:r>
      <w:r>
        <w:rPr>
          <w:rFonts w:hint="eastAsia"/>
          <w:lang w:val="en-US" w:eastAsia="zh-CN"/>
        </w:rPr>
        <w:t>英才</w:t>
      </w:r>
      <w:r>
        <w:t xml:space="preserve">班管理委员会将根据学生申请人的已修课程门类、课程成绩、教师推荐信内容和任课教师评语等，评定学生是否入选。按此方式入选的学生每学期不超过 </w:t>
      </w:r>
      <w:r>
        <w:rPr>
          <w:rFonts w:hint="eastAsia" w:ascii="Arial Unicode MS" w:eastAsia="Arial Unicode MS"/>
        </w:rPr>
        <w:t xml:space="preserve">5 </w:t>
      </w:r>
      <w:r>
        <w:t>名。</w:t>
      </w:r>
    </w:p>
    <w:p>
      <w:pPr>
        <w:pStyle w:val="2"/>
        <w:spacing w:before="126"/>
      </w:pPr>
      <w:r>
        <w:t>四、退出机制</w:t>
      </w:r>
    </w:p>
    <w:p>
      <w:pPr>
        <w:pStyle w:val="3"/>
        <w:spacing w:before="246"/>
        <w:ind w:left="593"/>
      </w:pPr>
      <w:r>
        <w:rPr>
          <w:rFonts w:hint="eastAsia"/>
          <w:lang w:val="en-US" w:eastAsia="zh-CN"/>
        </w:rPr>
        <w:t>英才</w:t>
      </w:r>
      <w:r>
        <w:t>班学生的推出机制分为自愿退出和强制退出两种。</w:t>
      </w:r>
    </w:p>
    <w:p>
      <w:pPr>
        <w:pStyle w:val="3"/>
        <w:ind w:left="0"/>
        <w:rPr>
          <w:sz w:val="21"/>
        </w:rPr>
      </w:pPr>
    </w:p>
    <w:p>
      <w:pPr>
        <w:pStyle w:val="3"/>
        <w:spacing w:line="448" w:lineRule="auto"/>
        <w:ind w:right="129" w:firstLine="480"/>
        <w:jc w:val="both"/>
      </w:pPr>
      <w:r>
        <w:t>在加入</w:t>
      </w:r>
      <w:r>
        <w:rPr>
          <w:rFonts w:hint="eastAsia"/>
          <w:lang w:val="en-US" w:eastAsia="zh-CN"/>
        </w:rPr>
        <w:t>英才</w:t>
      </w:r>
      <w:r>
        <w:t>班后的任一学期学生都可以申请自愿退出。申请自愿退出的学生需在该学期结束前至少一个月以书面形式通知</w:t>
      </w:r>
      <w:r>
        <w:rPr>
          <w:rFonts w:hint="eastAsia"/>
          <w:lang w:val="en-US" w:eastAsia="zh-CN"/>
        </w:rPr>
        <w:t>英才</w:t>
      </w:r>
      <w:r>
        <w:t>班管理委员会，该学期结束后完成退出。自愿退出的学生如果希望再次加入，一般要按照高于通常的标准再次评定其入选资格。</w:t>
      </w:r>
    </w:p>
    <w:p>
      <w:pPr>
        <w:pStyle w:val="3"/>
        <w:spacing w:before="55"/>
        <w:ind w:left="593"/>
      </w:pPr>
      <w:r>
        <w:t>出现下述情况之一的</w:t>
      </w:r>
      <w:r>
        <w:rPr>
          <w:rFonts w:hint="eastAsia"/>
          <w:lang w:val="en-US" w:eastAsia="zh-CN"/>
        </w:rPr>
        <w:t>英才</w:t>
      </w:r>
      <w:r>
        <w:t>班学生将被强制退出：</w:t>
      </w:r>
    </w:p>
    <w:p>
      <w:pPr>
        <w:pStyle w:val="3"/>
        <w:spacing w:before="6"/>
        <w:ind w:left="0"/>
        <w:rPr>
          <w:sz w:val="17"/>
        </w:rPr>
      </w:pPr>
    </w:p>
    <w:p>
      <w:pPr>
        <w:pStyle w:val="8"/>
        <w:numPr>
          <w:ilvl w:val="0"/>
          <w:numId w:val="2"/>
        </w:numPr>
        <w:tabs>
          <w:tab w:val="left" w:pos="1273"/>
        </w:tabs>
        <w:spacing w:before="0" w:after="0" w:line="240" w:lineRule="auto"/>
        <w:ind w:left="1272" w:right="0" w:hanging="680"/>
        <w:jc w:val="left"/>
        <w:rPr>
          <w:sz w:val="24"/>
        </w:rPr>
      </w:pPr>
      <w:r>
        <w:rPr>
          <w:sz w:val="24"/>
        </w:rPr>
        <w:t>在没有合理理由（比如疾病、重大不可抗因素等）的情况下出现一门数学课程</w:t>
      </w:r>
    </w:p>
    <w:p>
      <w:pPr>
        <w:pStyle w:val="3"/>
        <w:spacing w:before="206"/>
      </w:pPr>
      <w:r>
        <w:t>（包括必修课与选修课）不及格。</w:t>
      </w:r>
    </w:p>
    <w:p>
      <w:pPr>
        <w:pStyle w:val="3"/>
        <w:spacing w:before="2"/>
        <w:ind w:left="0"/>
        <w:rPr>
          <w:sz w:val="17"/>
        </w:rPr>
      </w:pPr>
    </w:p>
    <w:p>
      <w:pPr>
        <w:pStyle w:val="8"/>
        <w:numPr>
          <w:ilvl w:val="0"/>
          <w:numId w:val="2"/>
        </w:numPr>
        <w:tabs>
          <w:tab w:val="left" w:pos="1209"/>
        </w:tabs>
        <w:spacing w:before="1" w:after="0" w:line="240" w:lineRule="auto"/>
        <w:ind w:left="1208" w:right="0" w:hanging="616"/>
        <w:jc w:val="left"/>
        <w:rPr>
          <w:sz w:val="24"/>
        </w:rPr>
      </w:pPr>
      <w:r>
        <w:rPr>
          <w:spacing w:val="-6"/>
          <w:sz w:val="24"/>
        </w:rPr>
        <w:t>某一学期数学</w:t>
      </w:r>
      <w:r>
        <w:rPr>
          <w:rFonts w:hint="eastAsia"/>
          <w:spacing w:val="-6"/>
          <w:sz w:val="24"/>
          <w:lang w:val="en-US" w:eastAsia="zh-CN"/>
        </w:rPr>
        <w:t>类</w:t>
      </w:r>
      <w:r>
        <w:rPr>
          <w:spacing w:val="-6"/>
          <w:sz w:val="24"/>
        </w:rPr>
        <w:t>课程</w:t>
      </w:r>
      <w:r>
        <w:rPr>
          <w:rFonts w:hint="eastAsia"/>
          <w:spacing w:val="-6"/>
          <w:sz w:val="24"/>
          <w:lang w:val="en-US" w:eastAsia="zh-CN"/>
        </w:rPr>
        <w:t>平均</w:t>
      </w:r>
      <w:r>
        <w:rPr>
          <w:spacing w:val="-6"/>
          <w:sz w:val="24"/>
        </w:rPr>
        <w:t xml:space="preserve"> </w:t>
      </w:r>
      <w:r>
        <w:rPr>
          <w:rFonts w:hint="eastAsia" w:ascii="Arial Unicode MS" w:eastAsia="Arial Unicode MS"/>
          <w:sz w:val="24"/>
        </w:rPr>
        <w:t>GPA</w:t>
      </w:r>
      <w:r>
        <w:rPr>
          <w:rFonts w:hint="eastAsia" w:ascii="Arial Unicode MS" w:eastAsia="Arial Unicode MS"/>
          <w:spacing w:val="-6"/>
          <w:sz w:val="24"/>
        </w:rPr>
        <w:t xml:space="preserve"> </w:t>
      </w:r>
      <w:r>
        <w:rPr>
          <w:spacing w:val="-12"/>
          <w:sz w:val="24"/>
        </w:rPr>
        <w:t xml:space="preserve">严格小于 </w:t>
      </w:r>
      <w:r>
        <w:rPr>
          <w:rFonts w:hint="eastAsia" w:ascii="Arial Unicode MS" w:eastAsia="Arial Unicode MS"/>
          <w:sz w:val="24"/>
        </w:rPr>
        <w:t>3.5</w:t>
      </w:r>
      <w:r>
        <w:rPr>
          <w:sz w:val="24"/>
        </w:rPr>
        <w:t>。</w:t>
      </w:r>
    </w:p>
    <w:p>
      <w:pPr>
        <w:pStyle w:val="8"/>
        <w:numPr>
          <w:ilvl w:val="0"/>
          <w:numId w:val="2"/>
        </w:numPr>
        <w:tabs>
          <w:tab w:val="left" w:pos="1209"/>
        </w:tabs>
        <w:spacing w:before="158" w:after="0" w:line="357" w:lineRule="auto"/>
        <w:ind w:left="112" w:right="236" w:firstLine="480"/>
        <w:jc w:val="left"/>
        <w:rPr>
          <w:sz w:val="24"/>
        </w:rPr>
      </w:pPr>
      <w:r>
        <w:rPr>
          <w:sz w:val="24"/>
        </w:rPr>
        <w:t>其他由</w:t>
      </w:r>
      <w:r>
        <w:rPr>
          <w:rFonts w:hint="eastAsia"/>
          <w:sz w:val="24"/>
          <w:lang w:val="en-US" w:eastAsia="zh-CN"/>
        </w:rPr>
        <w:t>英才</w:t>
      </w:r>
      <w:r>
        <w:rPr>
          <w:sz w:val="24"/>
        </w:rPr>
        <w:t>班管理委员会认定为不适合继续留在</w:t>
      </w:r>
      <w:r>
        <w:rPr>
          <w:rFonts w:hint="eastAsia"/>
          <w:sz w:val="24"/>
          <w:lang w:val="en-US" w:eastAsia="zh-CN"/>
        </w:rPr>
        <w:t>英才</w:t>
      </w:r>
      <w:r>
        <w:rPr>
          <w:sz w:val="24"/>
        </w:rPr>
        <w:t>班的情况。（</w:t>
      </w:r>
      <w:r>
        <w:rPr>
          <w:spacing w:val="-3"/>
          <w:sz w:val="24"/>
        </w:rPr>
        <w:t>例如：学术不</w:t>
      </w:r>
      <w:r>
        <w:rPr>
          <w:sz w:val="24"/>
        </w:rPr>
        <w:t>端、对教学秩序或班级建设造成严重负面影响等。）</w:t>
      </w:r>
    </w:p>
    <w:p>
      <w:pPr>
        <w:pStyle w:val="2"/>
        <w:spacing w:before="39"/>
      </w:pPr>
      <w:r>
        <w:t>五、培养方案和专业课修读指导</w:t>
      </w:r>
    </w:p>
    <w:p>
      <w:pPr>
        <w:pStyle w:val="3"/>
        <w:spacing w:before="246" w:line="448" w:lineRule="auto"/>
        <w:ind w:right="131" w:firstLine="480"/>
      </w:pPr>
      <w:r>
        <w:rPr>
          <w:rFonts w:hint="eastAsia"/>
          <w:lang w:val="en-US" w:eastAsia="zh-CN"/>
        </w:rPr>
        <w:t>英才</w:t>
      </w:r>
      <w:r>
        <w:t>班学生在一年级或者二年级结束以后可以根据学习兴趣进入数学系的各个专业，毕业要求以对应专业培养方案的具体要求为准。</w:t>
      </w:r>
    </w:p>
    <w:p>
      <w:pPr>
        <w:pStyle w:val="3"/>
        <w:spacing w:before="2"/>
        <w:ind w:left="593"/>
      </w:pPr>
      <w:r>
        <w:t>学生在各个学期的主要专业课选修规划建议如下：</w:t>
      </w:r>
    </w:p>
    <w:p>
      <w:pPr>
        <w:pStyle w:val="3"/>
        <w:spacing w:before="3"/>
        <w:ind w:left="0"/>
        <w:rPr>
          <w:sz w:val="17"/>
        </w:rPr>
      </w:pPr>
    </w:p>
    <w:p>
      <w:pPr>
        <w:pStyle w:val="3"/>
        <w:ind w:left="593"/>
        <w:rPr>
          <w:rFonts w:hint="eastAsia" w:ascii="Arial Unicode MS" w:eastAsia="Arial Unicode MS"/>
        </w:rPr>
      </w:pPr>
      <w:r>
        <w:t>大一上：高等数学（上）</w:t>
      </w:r>
      <w:r>
        <w:rPr>
          <w:rFonts w:hint="eastAsia" w:ascii="Arial Unicode MS" w:eastAsia="Arial Unicode MS"/>
        </w:rPr>
        <w:t>/</w:t>
      </w:r>
      <w:r>
        <w:t xml:space="preserve">数学分析 </w:t>
      </w:r>
      <w:r>
        <w:rPr>
          <w:rFonts w:hint="eastAsia" w:ascii="Arial Unicode MS" w:eastAsia="Arial Unicode MS"/>
        </w:rPr>
        <w:t>I</w:t>
      </w:r>
      <w:r>
        <w:t xml:space="preserve">，线性代数 </w:t>
      </w:r>
      <w:r>
        <w:rPr>
          <w:rFonts w:hint="eastAsia" w:ascii="Arial Unicode MS" w:eastAsia="Arial Unicode MS"/>
        </w:rPr>
        <w:t>/</w:t>
      </w:r>
      <w:r>
        <w:t xml:space="preserve">高等代数 </w:t>
      </w:r>
      <w:r>
        <w:rPr>
          <w:rFonts w:hint="eastAsia" w:ascii="Arial Unicode MS" w:eastAsia="Arial Unicode MS"/>
        </w:rPr>
        <w:t>I;</w:t>
      </w:r>
    </w:p>
    <w:p>
      <w:pPr>
        <w:pStyle w:val="3"/>
        <w:spacing w:before="159"/>
        <w:ind w:left="593"/>
      </w:pPr>
      <w:r>
        <w:t xml:space="preserve">大一下：数学分析 </w:t>
      </w:r>
      <w:r>
        <w:rPr>
          <w:rFonts w:hint="eastAsia" w:ascii="Arial Unicode MS" w:eastAsia="Arial Unicode MS"/>
        </w:rPr>
        <w:t>II(H)</w:t>
      </w:r>
      <w:r>
        <w:t xml:space="preserve">，高等代数 </w:t>
      </w:r>
      <w:r>
        <w:rPr>
          <w:rFonts w:hint="eastAsia" w:ascii="Arial Unicode MS" w:eastAsia="Arial Unicode MS"/>
        </w:rPr>
        <w:t>II(H)</w:t>
      </w:r>
      <w:r>
        <w:t>；</w:t>
      </w:r>
    </w:p>
    <w:p>
      <w:pPr>
        <w:pStyle w:val="3"/>
        <w:spacing w:before="158"/>
        <w:ind w:left="593"/>
      </w:pPr>
      <w:r>
        <w:t xml:space="preserve">大二上：数学分析 </w:t>
      </w:r>
      <w:r>
        <w:rPr>
          <w:rFonts w:hint="eastAsia" w:ascii="Arial Unicode MS" w:eastAsia="Arial Unicode MS"/>
        </w:rPr>
        <w:t>III(H)</w:t>
      </w:r>
      <w:r>
        <w:rPr>
          <w:rFonts w:hint="eastAsia" w:ascii="Arial Unicode MS" w:eastAsia="Arial Unicode MS"/>
          <w:lang w:val="en-US" w:eastAsia="zh-CN"/>
        </w:rPr>
        <w:t>,</w:t>
      </w:r>
      <w:r>
        <w:t>抽象代数</w:t>
      </w:r>
      <w:r>
        <w:rPr>
          <w:rFonts w:hint="eastAsia" w:ascii="Arial Unicode MS" w:eastAsia="Arial Unicode MS"/>
        </w:rPr>
        <w:t>(H)*</w:t>
      </w:r>
      <w:r>
        <w:rPr>
          <w:rFonts w:hint="eastAsia" w:ascii="仿宋" w:hAnsi="仿宋" w:eastAsia="仿宋" w:cs="仿宋"/>
          <w:lang w:eastAsia="zh-CN"/>
        </w:rPr>
        <w:t>，</w:t>
      </w:r>
      <w:r>
        <w:rPr>
          <w:rFonts w:hint="eastAsia" w:ascii="仿宋" w:hAnsi="仿宋" w:eastAsia="仿宋" w:cs="仿宋"/>
          <w:lang w:val="en-US" w:eastAsia="zh-CN"/>
        </w:rPr>
        <w:t>初等数论</w:t>
      </w:r>
      <w:r>
        <w:rPr>
          <w:rFonts w:hint="eastAsia" w:cs="仿宋"/>
          <w:lang w:val="en-US" w:eastAsia="zh-CN"/>
        </w:rPr>
        <w:t>（选修）</w:t>
      </w:r>
      <w:r>
        <w:t>；</w:t>
      </w:r>
    </w:p>
    <w:p>
      <w:pPr>
        <w:pStyle w:val="3"/>
        <w:spacing w:before="159"/>
        <w:ind w:left="593"/>
      </w:pPr>
      <w:r>
        <w:t>大二下：</w:t>
      </w:r>
      <w:r>
        <w:rPr>
          <w:rFonts w:hint="eastAsia"/>
          <w:lang w:val="en-US" w:eastAsia="zh-CN"/>
        </w:rPr>
        <w:t>复变函数</w:t>
      </w:r>
      <w:r>
        <w:rPr>
          <w:rFonts w:hint="eastAsia" w:ascii="Arial Unicode MS" w:eastAsia="Arial Unicode MS"/>
        </w:rPr>
        <w:t>(H)</w:t>
      </w:r>
      <w:r>
        <w:t xml:space="preserve">，常微分方程 </w:t>
      </w:r>
      <w:r>
        <w:rPr>
          <w:rFonts w:hint="eastAsia" w:ascii="Arial Unicode MS" w:eastAsia="Arial Unicode MS"/>
        </w:rPr>
        <w:t>A(H)</w:t>
      </w:r>
      <w:r>
        <w:t>，</w:t>
      </w:r>
      <w:r>
        <w:rPr>
          <w:rFonts w:hint="eastAsia"/>
        </w:rPr>
        <w:t>其他</w:t>
      </w:r>
      <w:r>
        <w:t>专业选修课</w:t>
      </w:r>
      <w:r>
        <w:rPr>
          <w:rFonts w:hint="eastAsia"/>
          <w:lang w:val="en-US" w:eastAsia="zh-CN"/>
        </w:rPr>
        <w:t>,</w:t>
      </w:r>
      <w:r>
        <w:t>讨论班；</w:t>
      </w:r>
    </w:p>
    <w:p>
      <w:pPr>
        <w:pStyle w:val="3"/>
        <w:spacing w:before="159"/>
        <w:ind w:left="593"/>
        <w:rPr>
          <w:rFonts w:hint="eastAsia"/>
        </w:rPr>
      </w:pPr>
      <w:r>
        <w:rPr>
          <w:rFonts w:hint="eastAsia"/>
        </w:rPr>
        <w:t xml:space="preserve">大三上：实变函数(H)，偏微分方程(H)，拓扑学（选修），其他专业选修课，讨论班； </w:t>
      </w:r>
    </w:p>
    <w:p>
      <w:pPr>
        <w:pStyle w:val="3"/>
        <w:spacing w:before="159"/>
        <w:ind w:left="593"/>
      </w:pPr>
      <w:r>
        <w:rPr>
          <w:rFonts w:hint="eastAsia"/>
        </w:rPr>
        <w:t>大三下：泛函分析（选修），微分几何（选修），其他专业选修课，讨论班；</w:t>
      </w:r>
    </w:p>
    <w:p>
      <w:pPr>
        <w:pStyle w:val="3"/>
        <w:keepNext w:val="0"/>
        <w:keepLines w:val="0"/>
        <w:pageBreakBefore w:val="0"/>
        <w:widowControl w:val="0"/>
        <w:kinsoku/>
        <w:wordWrap/>
        <w:overflowPunct/>
        <w:topLinePunct w:val="0"/>
        <w:autoSpaceDE w:val="0"/>
        <w:autoSpaceDN w:val="0"/>
        <w:bidi w:val="0"/>
        <w:adjustRightInd/>
        <w:snapToGrid/>
        <w:spacing w:before="159" w:line="360" w:lineRule="auto"/>
        <w:ind w:left="593"/>
        <w:textAlignment w:val="auto"/>
      </w:pPr>
      <w:r>
        <w:t>大四上：专业选修课，讨论班； 大四下：毕业论文，讨论班。</w:t>
      </w:r>
    </w:p>
    <w:p>
      <w:pPr>
        <w:pStyle w:val="3"/>
        <w:keepNext w:val="0"/>
        <w:keepLines w:val="0"/>
        <w:pageBreakBefore w:val="0"/>
        <w:widowControl w:val="0"/>
        <w:kinsoku/>
        <w:wordWrap/>
        <w:overflowPunct/>
        <w:topLinePunct w:val="0"/>
        <w:autoSpaceDE w:val="0"/>
        <w:autoSpaceDN w:val="0"/>
        <w:bidi w:val="0"/>
        <w:adjustRightInd/>
        <w:snapToGrid/>
        <w:spacing w:before="159" w:line="360" w:lineRule="auto"/>
        <w:ind w:left="593"/>
        <w:textAlignment w:val="auto"/>
      </w:pPr>
      <w:r>
        <w:t>建议学生考虑在大四上学期进行出国交流。补充说明：</w:t>
      </w:r>
    </w:p>
    <w:p>
      <w:pPr>
        <w:pStyle w:val="3"/>
        <w:keepNext w:val="0"/>
        <w:keepLines w:val="0"/>
        <w:pageBreakBefore w:val="0"/>
        <w:widowControl w:val="0"/>
        <w:kinsoku/>
        <w:wordWrap/>
        <w:overflowPunct/>
        <w:topLinePunct w:val="0"/>
        <w:autoSpaceDE w:val="0"/>
        <w:autoSpaceDN w:val="0"/>
        <w:bidi w:val="0"/>
        <w:adjustRightInd/>
        <w:snapToGrid/>
        <w:spacing w:line="240" w:lineRule="auto"/>
        <w:ind w:left="595"/>
        <w:textAlignment w:val="auto"/>
      </w:pPr>
      <w:r>
        <w:rPr>
          <w:spacing w:val="-1"/>
        </w:rPr>
        <w:t>以上课程中，名称带有</w:t>
      </w:r>
      <w:r>
        <w:rPr>
          <w:rFonts w:hint="eastAsia" w:ascii="Arial Unicode MS" w:eastAsia="Arial Unicode MS"/>
        </w:rPr>
        <w:t>(H)</w:t>
      </w:r>
      <w:r>
        <w:t>的课程表示专门为</w:t>
      </w:r>
      <w:r>
        <w:rPr>
          <w:rFonts w:hint="eastAsia"/>
          <w:lang w:val="en-US" w:eastAsia="zh-CN"/>
        </w:rPr>
        <w:t>英才</w:t>
      </w:r>
      <w:r>
        <w:t>班开设的课程，和普通班级的相应课</w:t>
      </w:r>
    </w:p>
    <w:p>
      <w:pPr>
        <w:pStyle w:val="3"/>
        <w:keepNext w:val="0"/>
        <w:keepLines w:val="0"/>
        <w:pageBreakBefore w:val="0"/>
        <w:widowControl w:val="0"/>
        <w:kinsoku/>
        <w:wordWrap/>
        <w:overflowPunct/>
        <w:topLinePunct w:val="0"/>
        <w:autoSpaceDE w:val="0"/>
        <w:autoSpaceDN w:val="0"/>
        <w:bidi w:val="0"/>
        <w:adjustRightInd/>
        <w:snapToGrid/>
        <w:spacing w:before="159" w:line="240" w:lineRule="auto"/>
        <w:ind w:left="595" w:right="276" w:hanging="481"/>
        <w:textAlignment w:val="auto"/>
      </w:pPr>
      <w:r>
        <w:t>程比较会有更高的深度和难度。这类课程要求</w:t>
      </w:r>
      <w:r>
        <w:rPr>
          <w:rFonts w:hint="eastAsia"/>
          <w:lang w:val="en-US" w:eastAsia="zh-CN"/>
        </w:rPr>
        <w:t>英才</w:t>
      </w:r>
      <w:r>
        <w:t>班学生必须选修带有</w:t>
      </w:r>
      <w:r>
        <w:rPr>
          <w:rFonts w:hint="eastAsia" w:ascii="Arial Unicode MS" w:eastAsia="Arial Unicode MS"/>
        </w:rPr>
        <w:t>(H)</w:t>
      </w:r>
      <w:r>
        <w:t xml:space="preserve">标志的课程。 </w:t>
      </w:r>
      <w:r>
        <w:rPr>
          <w:spacing w:val="-1"/>
        </w:rPr>
        <w:t>加</w:t>
      </w:r>
      <w:r>
        <w:rPr>
          <w:rFonts w:hint="eastAsia" w:ascii="Arial Unicode MS" w:eastAsia="Arial Unicode MS"/>
        </w:rPr>
        <w:t>*</w:t>
      </w:r>
      <w:r>
        <w:rPr>
          <w:spacing w:val="-1"/>
        </w:rPr>
        <w:t>号的课程对于金融数学方向的学生为选修课程。可由统计或概率论类别的课程</w:t>
      </w:r>
    </w:p>
    <w:p>
      <w:pPr>
        <w:pStyle w:val="3"/>
        <w:keepNext w:val="0"/>
        <w:keepLines w:val="0"/>
        <w:pageBreakBefore w:val="0"/>
        <w:widowControl w:val="0"/>
        <w:kinsoku/>
        <w:wordWrap/>
        <w:overflowPunct/>
        <w:topLinePunct w:val="0"/>
        <w:autoSpaceDE w:val="0"/>
        <w:autoSpaceDN w:val="0"/>
        <w:bidi w:val="0"/>
        <w:adjustRightInd/>
        <w:snapToGrid/>
        <w:spacing w:before="47" w:line="360" w:lineRule="auto"/>
        <w:textAlignment w:val="auto"/>
      </w:pPr>
      <w:r>
        <w:t>代替。</w:t>
      </w:r>
    </w:p>
    <w:p>
      <w:pPr>
        <w:pStyle w:val="3"/>
        <w:spacing w:before="47"/>
        <w:rPr>
          <w:rFonts w:hint="default" w:eastAsia="仿宋"/>
          <w:b/>
          <w:bCs/>
          <w:lang w:val="en-US" w:eastAsia="zh-CN"/>
        </w:rPr>
      </w:pPr>
      <w:r>
        <w:rPr>
          <w:rFonts w:hint="eastAsia"/>
          <w:b/>
          <w:bCs/>
          <w:lang w:val="en-US" w:eastAsia="zh-CN"/>
        </w:rPr>
        <w:t>附件1：选修课列表</w:t>
      </w:r>
    </w:p>
    <w:p>
      <w:pPr>
        <w:spacing w:after="0"/>
      </w:pP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758"/>
        <w:gridCol w:w="850"/>
        <w:gridCol w:w="992"/>
        <w:gridCol w:w="1276"/>
        <w:gridCol w:w="1418"/>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课程编号</w:t>
            </w:r>
          </w:p>
        </w:tc>
        <w:tc>
          <w:tcPr>
            <w:tcW w:w="1758" w:type="dxa"/>
            <w:vAlign w:val="center"/>
          </w:tcPr>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课程名称</w:t>
            </w:r>
          </w:p>
        </w:tc>
        <w:tc>
          <w:tcPr>
            <w:tcW w:w="850" w:type="dxa"/>
            <w:vAlign w:val="center"/>
          </w:tcPr>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学分</w:t>
            </w:r>
          </w:p>
        </w:tc>
        <w:tc>
          <w:tcPr>
            <w:tcW w:w="992" w:type="dxa"/>
            <w:vAlign w:val="center"/>
          </w:tcPr>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其中实验/实践学分</w:t>
            </w:r>
          </w:p>
        </w:tc>
        <w:tc>
          <w:tcPr>
            <w:tcW w:w="1276" w:type="dxa"/>
            <w:vAlign w:val="center"/>
          </w:tcPr>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建议修读</w:t>
            </w:r>
          </w:p>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学期</w:t>
            </w:r>
          </w:p>
        </w:tc>
        <w:tc>
          <w:tcPr>
            <w:tcW w:w="1418" w:type="dxa"/>
            <w:vAlign w:val="center"/>
          </w:tcPr>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先修</w:t>
            </w:r>
          </w:p>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课程</w:t>
            </w:r>
          </w:p>
        </w:tc>
        <w:tc>
          <w:tcPr>
            <w:tcW w:w="1178" w:type="dxa"/>
            <w:vAlign w:val="center"/>
          </w:tcPr>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MA233</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MATLAB语言基础</w:t>
            </w:r>
          </w:p>
        </w:tc>
        <w:tc>
          <w:tcPr>
            <w:tcW w:w="850"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4</w:t>
            </w:r>
          </w:p>
        </w:tc>
        <w:tc>
          <w:tcPr>
            <w:tcW w:w="992"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1</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第二学年春季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olor w:val="000000" w:themeColor="text1"/>
                <w:kern w:val="0"/>
                <w:sz w:val="16"/>
                <w:szCs w:val="16"/>
                <w14:textFill>
                  <w14:solidFill>
                    <w14:schemeClr w14:val="tx1"/>
                  </w14:solidFill>
                </w14:textFill>
              </w:rPr>
              <w:t>MA113</w:t>
            </w:r>
            <w:r>
              <w:rPr>
                <w:rFonts w:hint="eastAsia" w:ascii="等线" w:hAnsi="等线" w:eastAsia="等线"/>
                <w:color w:val="000000" w:themeColor="text1"/>
                <w:kern w:val="0"/>
                <w:sz w:val="16"/>
                <w:szCs w:val="16"/>
                <w14:textFill>
                  <w14:solidFill>
                    <w14:schemeClr w14:val="tx1"/>
                  </w14:solidFill>
                </w14:textFill>
              </w:rPr>
              <w:t>/</w:t>
            </w:r>
            <w:r>
              <w:rPr>
                <w:rFonts w:ascii="等线" w:hAnsi="等线" w:eastAsia="等线"/>
                <w:kern w:val="0"/>
                <w:sz w:val="16"/>
                <w:szCs w:val="16"/>
              </w:rPr>
              <w:t>MA107</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CS201</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离散数学</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第二学年春季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kern w:val="0"/>
                <w:sz w:val="16"/>
                <w:szCs w:val="16"/>
              </w:rPr>
              <w:t>MA127</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计算机科学与工程系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MA206</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数学建模</w:t>
            </w:r>
          </w:p>
        </w:tc>
        <w:tc>
          <w:tcPr>
            <w:tcW w:w="850" w:type="dxa"/>
            <w:shd w:val="clear" w:color="auto" w:fill="auto"/>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shd w:val="clear" w:color="auto" w:fill="auto"/>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1</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第二学年春季</w:t>
            </w:r>
          </w:p>
        </w:tc>
        <w:tc>
          <w:tcPr>
            <w:tcW w:w="1418" w:type="dxa"/>
            <w:vAlign w:val="center"/>
          </w:tcPr>
          <w:p>
            <w:pPr>
              <w:snapToGrid w:val="0"/>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MA201a/</w:t>
            </w:r>
          </w:p>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MA201b</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MA208</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应用随机过程</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第二学年春季</w:t>
            </w:r>
          </w:p>
        </w:tc>
        <w:tc>
          <w:tcPr>
            <w:tcW w:w="1418" w:type="dxa"/>
            <w:vAlign w:val="center"/>
          </w:tcPr>
          <w:p>
            <w:pPr>
              <w:snapToGrid w:val="0"/>
              <w:spacing w:line="220" w:lineRule="exact"/>
              <w:jc w:val="center"/>
              <w:rPr>
                <w:rFonts w:ascii="等线" w:hAnsi="等线" w:eastAsia="等线" w:cs="等线"/>
                <w:sz w:val="16"/>
                <w:szCs w:val="16"/>
              </w:rPr>
            </w:pPr>
            <w:r>
              <w:rPr>
                <w:rFonts w:hint="eastAsia" w:ascii="等线" w:hAnsi="等线" w:eastAsia="等线" w:cs="等线"/>
                <w:sz w:val="16"/>
                <w:szCs w:val="16"/>
              </w:rPr>
              <w:t>MA213-16并且（MA215/MA212）并且（MA109/</w:t>
            </w:r>
          </w:p>
          <w:p>
            <w:pPr>
              <w:snapToGrid w:val="0"/>
              <w:spacing w:line="220" w:lineRule="exact"/>
              <w:jc w:val="center"/>
              <w:rPr>
                <w:rFonts w:ascii="等线" w:hAnsi="等线" w:eastAsia="等线" w:cs="等线"/>
                <w:sz w:val="16"/>
                <w:szCs w:val="16"/>
              </w:rPr>
            </w:pPr>
            <w:r>
              <w:rPr>
                <w:rFonts w:hint="eastAsia" w:ascii="等线" w:hAnsi="等线" w:eastAsia="等线" w:cs="等线"/>
                <w:sz w:val="16"/>
                <w:szCs w:val="16"/>
              </w:rPr>
              <w:t>MA111/</w:t>
            </w:r>
          </w:p>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MA121）</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MA210</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运筹学</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w:t>
            </w:r>
            <w:r>
              <w:rPr>
                <w:rFonts w:hint="eastAsia" w:ascii="等线" w:hAnsi="等线" w:eastAsia="等线" w:cs="等线"/>
                <w:kern w:val="0"/>
                <w:sz w:val="16"/>
                <w:szCs w:val="16"/>
              </w:rPr>
              <w:t>二</w:t>
            </w:r>
            <w:r>
              <w:rPr>
                <w:rFonts w:ascii="等线" w:hAnsi="等线" w:eastAsia="等线" w:cs="等线"/>
                <w:kern w:val="0"/>
                <w:sz w:val="16"/>
                <w:szCs w:val="16"/>
              </w:rPr>
              <w:t>学年春季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MA203a/MA231</w:t>
            </w:r>
            <w:r>
              <w:rPr>
                <w:rFonts w:ascii="等线" w:hAnsi="等线" w:eastAsia="等线" w:cs="等线"/>
                <w:sz w:val="16"/>
                <w:szCs w:val="16"/>
              </w:rPr>
              <w:t xml:space="preserve"> </w:t>
            </w:r>
            <w:r>
              <w:rPr>
                <w:rFonts w:hint="eastAsia" w:ascii="等线" w:hAnsi="等线" w:eastAsia="等线" w:cs="等线"/>
                <w:sz w:val="16"/>
                <w:szCs w:val="16"/>
              </w:rPr>
              <w:t>/</w:t>
            </w:r>
            <w:r>
              <w:rPr>
                <w:rFonts w:ascii="等线" w:hAnsi="等线" w:eastAsia="等线" w:cs="等线"/>
                <w:sz w:val="16"/>
                <w:szCs w:val="16"/>
              </w:rPr>
              <w:t>MA213</w:t>
            </w:r>
            <w:r>
              <w:rPr>
                <w:rFonts w:hint="eastAsia" w:ascii="等线" w:hAnsi="等线" w:eastAsia="等线" w:cs="等线"/>
                <w:sz w:val="16"/>
                <w:szCs w:val="16"/>
              </w:rPr>
              <w:t>-16</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CS203B</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数据结构与算法分析B</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1</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第二学年秋季</w:t>
            </w:r>
          </w:p>
        </w:tc>
        <w:tc>
          <w:tcPr>
            <w:tcW w:w="1418" w:type="dxa"/>
            <w:vAlign w:val="center"/>
          </w:tcPr>
          <w:p>
            <w:pPr>
              <w:spacing w:line="220" w:lineRule="exact"/>
              <w:jc w:val="center"/>
              <w:rPr>
                <w:rFonts w:ascii="等线" w:hAnsi="等线" w:eastAsia="等线" w:cs="等线"/>
                <w:sz w:val="16"/>
                <w:szCs w:val="16"/>
              </w:rPr>
            </w:pPr>
            <w:r>
              <w:rPr>
                <w:rFonts w:hint="eastAsia" w:ascii="等线" w:hAnsi="等线" w:eastAsia="等线" w:cs="等线"/>
                <w:sz w:val="16"/>
                <w:szCs w:val="16"/>
              </w:rPr>
              <w:t>CS205</w:t>
            </w:r>
          </w:p>
        </w:tc>
        <w:tc>
          <w:tcPr>
            <w:tcW w:w="1178" w:type="dxa"/>
            <w:vAlign w:val="center"/>
          </w:tcPr>
          <w:p>
            <w:pPr>
              <w:snapToGrid w:val="0"/>
              <w:spacing w:line="220" w:lineRule="exact"/>
              <w:jc w:val="center"/>
              <w:rPr>
                <w:rFonts w:ascii="等线" w:hAnsi="等线" w:eastAsia="等线" w:cs="等线"/>
                <w:sz w:val="16"/>
                <w:szCs w:val="16"/>
              </w:rPr>
            </w:pPr>
            <w:r>
              <w:rPr>
                <w:rFonts w:hint="eastAsia" w:ascii="等线" w:hAnsi="等线" w:eastAsia="等线" w:cs="等线"/>
                <w:sz w:val="16"/>
                <w:szCs w:val="16"/>
              </w:rPr>
              <w:t>计算机科学与工程系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MA209-16</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初等数论</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第二学年秋季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MA109/MA111/MA121</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MA234</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大数据导论与实践</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4</w:t>
            </w:r>
          </w:p>
        </w:tc>
        <w:tc>
          <w:tcPr>
            <w:tcW w:w="992"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1</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第三学年春季</w:t>
            </w:r>
          </w:p>
        </w:tc>
        <w:tc>
          <w:tcPr>
            <w:tcW w:w="1418" w:type="dxa"/>
            <w:vAlign w:val="center"/>
          </w:tcPr>
          <w:p>
            <w:pPr>
              <w:spacing w:line="220" w:lineRule="exact"/>
              <w:jc w:val="center"/>
              <w:rPr>
                <w:rFonts w:ascii="等线" w:hAnsi="等线" w:eastAsia="宋体" w:cs="等线"/>
                <w:kern w:val="0"/>
                <w:sz w:val="16"/>
                <w:szCs w:val="16"/>
              </w:rPr>
            </w:pPr>
            <w:r>
              <w:rPr>
                <w:rFonts w:hint="eastAsia" w:ascii="等线" w:hAnsi="等线" w:eastAsia="等线" w:cs="等线"/>
                <w:sz w:val="16"/>
                <w:szCs w:val="16"/>
              </w:rPr>
              <w:t>MA204/MA212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MA302</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泛函分析</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第三学年春季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MA301并且MA202并且（MA109/MA111/MA121）</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MA322</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寿险精算</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第三学年春季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MA215/MA212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MA325</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偏微分方程数值解</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第三学年春季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MA303</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MA327</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微分几何</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第三学年春季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MA201a/M201b</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MA207</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数学实验</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1</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MA213-16</w:t>
            </w:r>
            <w:r>
              <w:rPr>
                <w:rFonts w:hint="eastAsia" w:ascii="等线" w:hAnsi="等线" w:eastAsia="等线" w:cs="等线"/>
                <w:kern w:val="0"/>
                <w:sz w:val="16"/>
                <w:szCs w:val="16"/>
              </w:rPr>
              <w:t>/</w:t>
            </w:r>
          </w:p>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MA203a</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MA216</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计算金融</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（MA215/MA212)并且（MA109/MA111/MA121）</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MA228</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非寿险精算</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MA215</w:t>
            </w:r>
          </w:p>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/MA212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MA305</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数值分析</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MA213-16</w:t>
            </w:r>
            <w:r>
              <w:rPr>
                <w:rFonts w:hint="eastAsia" w:ascii="等线" w:hAnsi="等线" w:eastAsia="等线" w:cs="等线"/>
                <w:kern w:val="0"/>
                <w:sz w:val="16"/>
                <w:szCs w:val="16"/>
              </w:rPr>
              <w:t>/</w:t>
            </w:r>
          </w:p>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MA203a</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MA321</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群表示论</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pPr>
              <w:spacing w:line="220" w:lineRule="exact"/>
              <w:jc w:val="center"/>
              <w:rPr>
                <w:rFonts w:ascii="等线" w:hAnsi="等线" w:eastAsia="等线" w:cs="等线"/>
                <w:sz w:val="16"/>
                <w:szCs w:val="16"/>
              </w:rPr>
            </w:pPr>
            <w:r>
              <w:rPr>
                <w:rFonts w:hint="eastAsia" w:ascii="等线" w:hAnsi="等线" w:eastAsia="等线" w:cs="等线"/>
                <w:sz w:val="16"/>
                <w:szCs w:val="16"/>
              </w:rPr>
              <w:t>MA214/</w:t>
            </w:r>
          </w:p>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MA219</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MA323</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拓扑学</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pPr>
              <w:spacing w:line="220" w:lineRule="exact"/>
              <w:jc w:val="center"/>
              <w:rPr>
                <w:rFonts w:ascii="等线" w:hAnsi="等线" w:eastAsia="等线" w:cs="等线"/>
                <w:sz w:val="16"/>
                <w:szCs w:val="16"/>
              </w:rPr>
            </w:pPr>
            <w:r>
              <w:rPr>
                <w:rFonts w:hint="eastAsia" w:ascii="等线" w:hAnsi="等线" w:eastAsia="等线" w:cs="等线"/>
                <w:sz w:val="16"/>
                <w:szCs w:val="16"/>
              </w:rPr>
              <w:t>MA214/</w:t>
            </w:r>
          </w:p>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MA219</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MAT7089</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最优化理论与方法</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pPr>
              <w:spacing w:line="220" w:lineRule="exact"/>
              <w:jc w:val="center"/>
              <w:rPr>
                <w:rFonts w:ascii="等线" w:hAnsi="等线" w:eastAsia="等线" w:cs="等线"/>
                <w:sz w:val="16"/>
                <w:szCs w:val="16"/>
              </w:rPr>
            </w:pPr>
            <w:r>
              <w:rPr>
                <w:rFonts w:hint="eastAsia" w:ascii="等线" w:hAnsi="等线" w:eastAsia="等线" w:cs="等线"/>
                <w:sz w:val="16"/>
                <w:szCs w:val="16"/>
              </w:rPr>
              <w:t>MAT7083</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MAT7079</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代数图论</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sz w:val="16"/>
                <w:szCs w:val="16"/>
              </w:rPr>
            </w:pPr>
            <w:r>
              <w:rPr>
                <w:rFonts w:hint="eastAsia" w:ascii="等线" w:hAnsi="等线" w:eastAsia="等线" w:cs="等线"/>
                <w:sz w:val="16"/>
                <w:szCs w:val="16"/>
              </w:rPr>
              <w:t>MA214</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MAT7024</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偏微分方程(下)</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MAT7074</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交换代数</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MA214</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MAT7087</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计算流体力学与深度学习</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MA305</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MAT7093</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随机分析</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MA208</w:t>
            </w:r>
            <w:r>
              <w:rPr>
                <w:rFonts w:hint="eastAsia" w:ascii="等线" w:hAnsi="等线" w:eastAsia="等线" w:cs="等线"/>
                <w:kern w:val="0"/>
                <w:sz w:val="16"/>
                <w:szCs w:val="16"/>
              </w:rPr>
              <w:t>并且MA302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MAT8005</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微分流形</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MA327</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MAT8020</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抽象代数II</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sz w:val="16"/>
                <w:szCs w:val="16"/>
              </w:rPr>
            </w:pPr>
            <w:r>
              <w:rPr>
                <w:rFonts w:hint="eastAsia" w:ascii="等线" w:hAnsi="等线" w:eastAsia="等线" w:cs="等线"/>
                <w:sz w:val="16"/>
                <w:szCs w:val="16"/>
              </w:rPr>
              <w:t>MA214/</w:t>
            </w:r>
          </w:p>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MA219</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MAT8021</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代数拓扑学</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MA323</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MAT8022</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组合数学</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sz w:val="16"/>
                <w:szCs w:val="16"/>
              </w:rPr>
            </w:pPr>
            <w:r>
              <w:rPr>
                <w:rFonts w:hint="eastAsia" w:ascii="等线" w:hAnsi="等线" w:eastAsia="等线" w:cs="等线"/>
                <w:sz w:val="16"/>
                <w:szCs w:val="16"/>
              </w:rPr>
              <w:t>MA214/</w:t>
            </w:r>
          </w:p>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MA219</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MAT8026</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高等泛函分析</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MAT7076</w:t>
            </w:r>
          </w:p>
        </w:tc>
        <w:tc>
          <w:tcPr>
            <w:tcW w:w="1758" w:type="dxa"/>
            <w:vAlign w:val="center"/>
          </w:tcPr>
          <w:p>
            <w:pPr>
              <w:spacing w:line="220" w:lineRule="exact"/>
              <w:jc w:val="center"/>
              <w:rPr>
                <w:rFonts w:hint="default" w:ascii="等线" w:hAnsi="等线" w:eastAsia="等线" w:cs="等线"/>
                <w:kern w:val="0"/>
                <w:sz w:val="16"/>
                <w:szCs w:val="16"/>
                <w:lang w:val="en-US" w:eastAsia="zh-CN"/>
              </w:rPr>
            </w:pPr>
            <w:r>
              <w:rPr>
                <w:rFonts w:hint="eastAsia" w:ascii="等线" w:hAnsi="等线" w:eastAsia="等线" w:cs="等线"/>
                <w:kern w:val="0"/>
                <w:sz w:val="16"/>
                <w:szCs w:val="16"/>
                <w:lang w:val="en-US" w:eastAsia="zh-CN"/>
              </w:rPr>
              <w:t>代数曲线</w:t>
            </w:r>
          </w:p>
        </w:tc>
        <w:tc>
          <w:tcPr>
            <w:tcW w:w="850" w:type="dxa"/>
            <w:vAlign w:val="center"/>
          </w:tcPr>
          <w:p>
            <w:pPr>
              <w:spacing w:line="220" w:lineRule="exact"/>
              <w:jc w:val="center"/>
              <w:rPr>
                <w:rFonts w:ascii="等线" w:hAnsi="等线" w:eastAsia="等线" w:cs="等线"/>
                <w:kern w:val="0"/>
                <w:sz w:val="16"/>
                <w:szCs w:val="16"/>
                <w:lang w:val="en-US" w:eastAsia="zh-CN" w:bidi="ar-SA"/>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lang w:val="en-US" w:eastAsia="zh-CN" w:bidi="ar-SA"/>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lang w:val="en-US" w:eastAsia="zh-CN" w:bidi="ar-SA"/>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MA323</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MA205</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离散数学</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MA203a/MA231</w:t>
            </w:r>
            <w:r>
              <w:rPr>
                <w:rFonts w:ascii="等线" w:hAnsi="等线" w:eastAsia="等线" w:cs="等线"/>
                <w:kern w:val="0"/>
                <w:sz w:val="16"/>
                <w:szCs w:val="16"/>
              </w:rPr>
              <w:t xml:space="preserve"> </w:t>
            </w:r>
            <w:r>
              <w:rPr>
                <w:rFonts w:hint="eastAsia" w:ascii="等线" w:hAnsi="等线" w:eastAsia="等线" w:cs="等线"/>
                <w:kern w:val="0"/>
                <w:sz w:val="16"/>
                <w:szCs w:val="16"/>
              </w:rPr>
              <w:t>/</w:t>
            </w:r>
            <w:r>
              <w:rPr>
                <w:rFonts w:ascii="等线" w:hAnsi="等线" w:eastAsia="等线" w:cs="等线"/>
                <w:kern w:val="0"/>
                <w:sz w:val="16"/>
                <w:szCs w:val="16"/>
              </w:rPr>
              <w:t>MA213</w:t>
            </w:r>
            <w:r>
              <w:rPr>
                <w:rFonts w:hint="eastAsia" w:ascii="等线" w:hAnsi="等线" w:eastAsia="等线" w:cs="等线"/>
                <w:kern w:val="0"/>
                <w:sz w:val="16"/>
                <w:szCs w:val="16"/>
              </w:rPr>
              <w:t>-16</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MA401</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动力系统</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MA201a/M201b</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MA423</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几何与拓扑讨论班</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1</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MA446</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群、图与地图讨论班</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1</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MA447</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高级分析讨论班</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1</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MAT7023</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偏微分方程（上）</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MAT7074</w:t>
            </w:r>
          </w:p>
        </w:tc>
        <w:tc>
          <w:tcPr>
            <w:tcW w:w="1758" w:type="dxa"/>
            <w:vAlign w:val="center"/>
          </w:tcPr>
          <w:p>
            <w:pPr>
              <w:spacing w:line="220" w:lineRule="exact"/>
              <w:jc w:val="center"/>
              <w:rPr>
                <w:rFonts w:hint="default" w:ascii="等线" w:hAnsi="等线" w:eastAsia="等线" w:cs="等线"/>
                <w:kern w:val="0"/>
                <w:sz w:val="16"/>
                <w:szCs w:val="16"/>
                <w:lang w:val="en-US" w:eastAsia="zh-CN"/>
              </w:rPr>
            </w:pPr>
            <w:r>
              <w:rPr>
                <w:rFonts w:hint="eastAsia" w:ascii="等线" w:hAnsi="等线" w:eastAsia="等线" w:cs="等线"/>
                <w:kern w:val="0"/>
                <w:sz w:val="16"/>
                <w:szCs w:val="16"/>
                <w:lang w:val="en-US" w:eastAsia="zh-CN"/>
              </w:rPr>
              <w:t>交换代数</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hint="eastAsia" w:ascii="等线" w:hAnsi="等线" w:eastAsia="等线" w:cs="等线"/>
                <w:kern w:val="0"/>
                <w:sz w:val="16"/>
                <w:szCs w:val="16"/>
                <w:lang w:val="en-US" w:eastAsia="zh-CN"/>
              </w:rPr>
            </w:pPr>
            <w:r>
              <w:rPr>
                <w:rFonts w:hint="eastAsia" w:ascii="等线" w:hAnsi="等线" w:eastAsia="等线" w:cs="等线"/>
                <w:kern w:val="0"/>
                <w:sz w:val="16"/>
                <w:szCs w:val="16"/>
              </w:rPr>
              <w:t>MA219</w:t>
            </w:r>
            <w:r>
              <w:rPr>
                <w:rFonts w:hint="eastAsia" w:ascii="等线" w:hAnsi="等线" w:eastAsia="等线" w:cs="等线"/>
                <w:kern w:val="0"/>
                <w:sz w:val="16"/>
                <w:szCs w:val="16"/>
                <w:lang w:val="en-US" w:eastAsia="zh-CN"/>
              </w:rPr>
              <w:t>/MA214</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MAT7065</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多复变与复几何</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MAT7072</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群论专题</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无</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MAT7073</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李群及其表示</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MA214</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MAT7080</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组合数学专题</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无</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MAT7083</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凸优化算法</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MA215</w:t>
            </w:r>
          </w:p>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/MA212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MAT8006</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科学计算</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MA201a</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MAT8011</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现代概率论</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MA301</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MAT8027</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测度论</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MAT8029</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应用数学方法</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MA303</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5" w:type="dxa"/>
            <w:gridSpan w:val="7"/>
            <w:vAlign w:val="center"/>
          </w:tcPr>
          <w:p>
            <w:pPr>
              <w:spacing w:line="220" w:lineRule="exact"/>
              <w:jc w:val="left"/>
              <w:rPr>
                <w:rFonts w:ascii="等线" w:hAnsi="等线" w:eastAsia="等线" w:cs="等线"/>
                <w:kern w:val="0"/>
                <w:sz w:val="16"/>
                <w:szCs w:val="16"/>
              </w:rPr>
            </w:pPr>
            <w:r>
              <w:rPr>
                <w:rFonts w:hint="eastAsia" w:ascii="等线" w:hAnsi="等线" w:eastAsia="等线" w:cs="等线"/>
                <w:kern w:val="0"/>
                <w:sz w:val="16"/>
                <w:szCs w:val="16"/>
                <w:lang w:val="en-US" w:eastAsia="zh-CN"/>
              </w:rPr>
              <w:t>1</w:t>
            </w:r>
            <w:r>
              <w:rPr>
                <w:rFonts w:hint="eastAsia" w:ascii="等线" w:hAnsi="等线" w:eastAsia="等线" w:cs="等线"/>
                <w:kern w:val="0"/>
                <w:sz w:val="16"/>
                <w:szCs w:val="16"/>
              </w:rPr>
              <w:t>、选课指导：</w:t>
            </w:r>
          </w:p>
          <w:p>
            <w:pPr>
              <w:numPr>
                <w:ilvl w:val="0"/>
                <w:numId w:val="3"/>
              </w:numPr>
              <w:spacing w:line="220" w:lineRule="exact"/>
              <w:jc w:val="left"/>
              <w:rPr>
                <w:rFonts w:ascii="等线" w:hAnsi="等线" w:eastAsia="等线" w:cs="等线"/>
                <w:kern w:val="0"/>
                <w:sz w:val="16"/>
                <w:szCs w:val="16"/>
              </w:rPr>
            </w:pPr>
            <w:r>
              <w:rPr>
                <w:rFonts w:hint="eastAsia" w:ascii="等线" w:hAnsi="等线" w:eastAsia="等线" w:cs="等线"/>
                <w:kern w:val="0"/>
                <w:sz w:val="16"/>
                <w:szCs w:val="16"/>
              </w:rPr>
              <w:t>建议基础数学学生从以下课程中修读专业选修学分：初等数论、MATLAB程序设计、离散数学、拓扑学、微分几何、群表示论、抽象代数II、</w:t>
            </w:r>
            <w:r>
              <w:rPr>
                <w:rFonts w:ascii="等线" w:hAnsi="等线" w:eastAsia="等线" w:cs="等线"/>
                <w:kern w:val="0"/>
                <w:sz w:val="16"/>
                <w:szCs w:val="16"/>
              </w:rPr>
              <w:t>高等泛函分析</w:t>
            </w:r>
            <w:r>
              <w:rPr>
                <w:rFonts w:hint="eastAsia" w:ascii="等线" w:hAnsi="等线" w:eastAsia="等线" w:cs="等线"/>
                <w:kern w:val="0"/>
                <w:sz w:val="16"/>
                <w:szCs w:val="16"/>
                <w:lang w:eastAsia="zh-CN"/>
              </w:rPr>
              <w:t>、</w:t>
            </w:r>
            <w:r>
              <w:rPr>
                <w:rFonts w:hint="eastAsia" w:ascii="等线" w:hAnsi="等线" w:eastAsia="等线" w:cs="等线"/>
                <w:kern w:val="0"/>
                <w:sz w:val="16"/>
                <w:szCs w:val="16"/>
              </w:rPr>
              <w:t>测度论、代数几何、组合数学、</w:t>
            </w:r>
            <w:r>
              <w:rPr>
                <w:rFonts w:hint="eastAsia" w:ascii="等线" w:hAnsi="等线" w:eastAsia="等线" w:cs="等线"/>
                <w:kern w:val="0"/>
                <w:sz w:val="16"/>
                <w:szCs w:val="16"/>
                <w:lang w:val="en-US" w:eastAsia="zh-CN"/>
              </w:rPr>
              <w:t>交换代数、代数曲线、</w:t>
            </w:r>
            <w:r>
              <w:rPr>
                <w:rFonts w:ascii="等线" w:hAnsi="等线" w:eastAsia="等线" w:cs="等线"/>
                <w:kern w:val="0"/>
                <w:sz w:val="16"/>
                <w:szCs w:val="16"/>
              </w:rPr>
              <w:t>多复变与复几何</w:t>
            </w:r>
            <w:r>
              <w:rPr>
                <w:rFonts w:hint="eastAsia" w:ascii="等线" w:hAnsi="等线" w:eastAsia="等线" w:cs="等线"/>
                <w:kern w:val="0"/>
                <w:sz w:val="16"/>
                <w:szCs w:val="16"/>
                <w:lang w:eastAsia="zh-CN"/>
              </w:rPr>
              <w:t>、</w:t>
            </w:r>
            <w:r>
              <w:rPr>
                <w:rFonts w:ascii="等线" w:hAnsi="等线" w:eastAsia="等线" w:cs="等线"/>
                <w:kern w:val="0"/>
                <w:sz w:val="16"/>
                <w:szCs w:val="16"/>
              </w:rPr>
              <w:t>群论专题</w:t>
            </w:r>
            <w:r>
              <w:rPr>
                <w:rFonts w:hint="eastAsia" w:ascii="等线" w:hAnsi="等线" w:eastAsia="等线" w:cs="等线"/>
                <w:kern w:val="0"/>
                <w:sz w:val="16"/>
                <w:szCs w:val="16"/>
                <w:lang w:eastAsia="zh-CN"/>
              </w:rPr>
              <w:t>、</w:t>
            </w:r>
            <w:r>
              <w:rPr>
                <w:rFonts w:ascii="等线" w:hAnsi="等线" w:eastAsia="等线" w:cs="等线"/>
                <w:kern w:val="0"/>
                <w:sz w:val="16"/>
                <w:szCs w:val="16"/>
              </w:rPr>
              <w:t>李群及其表示</w:t>
            </w:r>
            <w:r>
              <w:rPr>
                <w:rFonts w:hint="eastAsia" w:ascii="等线" w:hAnsi="等线" w:eastAsia="等线" w:cs="等线"/>
                <w:kern w:val="0"/>
                <w:sz w:val="16"/>
                <w:szCs w:val="16"/>
                <w:lang w:eastAsia="zh-CN"/>
              </w:rPr>
              <w:t>、</w:t>
            </w:r>
            <w:r>
              <w:rPr>
                <w:rFonts w:ascii="等线" w:hAnsi="等线" w:eastAsia="等线" w:cs="等线"/>
                <w:kern w:val="0"/>
                <w:sz w:val="16"/>
                <w:szCs w:val="16"/>
              </w:rPr>
              <w:t>组合数学专题</w:t>
            </w:r>
            <w:r>
              <w:rPr>
                <w:rFonts w:hint="eastAsia" w:ascii="等线" w:hAnsi="等线" w:eastAsia="等线" w:cs="等线"/>
                <w:kern w:val="0"/>
                <w:sz w:val="16"/>
                <w:szCs w:val="16"/>
              </w:rPr>
              <w:t>等；</w:t>
            </w:r>
          </w:p>
          <w:p>
            <w:pPr>
              <w:numPr>
                <w:ilvl w:val="0"/>
                <w:numId w:val="3"/>
              </w:numPr>
              <w:spacing w:line="220" w:lineRule="exact"/>
              <w:jc w:val="left"/>
              <w:rPr>
                <w:rFonts w:ascii="等线" w:hAnsi="等线" w:eastAsia="等线" w:cs="等线"/>
                <w:kern w:val="0"/>
                <w:sz w:val="16"/>
                <w:szCs w:val="16"/>
              </w:rPr>
            </w:pPr>
            <w:r>
              <w:rPr>
                <w:rFonts w:hint="eastAsia" w:ascii="等线" w:hAnsi="等线" w:eastAsia="等线" w:cs="等线"/>
                <w:kern w:val="0"/>
                <w:sz w:val="16"/>
                <w:szCs w:val="16"/>
              </w:rPr>
              <w:t>建议计算与应用数学学生从以下课程中修读专业选修学分：MATLAB程序设计、数学实验、C/C++程序设计、数据结构与算法分析B、运筹学、数学建模、偏微分方程数值解、数值分析、机器学习、大数据导论、科学计算、最优化理论与方法</w:t>
            </w:r>
            <w:r>
              <w:rPr>
                <w:rFonts w:hint="eastAsia" w:ascii="等线" w:hAnsi="等线" w:eastAsia="等线" w:cs="等线"/>
                <w:kern w:val="0"/>
                <w:sz w:val="16"/>
                <w:szCs w:val="16"/>
                <w:lang w:eastAsia="zh-CN"/>
              </w:rPr>
              <w:t>、</w:t>
            </w:r>
            <w:r>
              <w:rPr>
                <w:rFonts w:ascii="等线" w:hAnsi="等线" w:eastAsia="等线" w:cs="等线"/>
                <w:kern w:val="0"/>
                <w:sz w:val="16"/>
                <w:szCs w:val="16"/>
              </w:rPr>
              <w:t>凸优化算法</w:t>
            </w:r>
            <w:r>
              <w:rPr>
                <w:rFonts w:hint="eastAsia" w:ascii="等线" w:hAnsi="等线" w:eastAsia="等线" w:cs="等线"/>
                <w:kern w:val="0"/>
                <w:sz w:val="16"/>
                <w:szCs w:val="16"/>
              </w:rPr>
              <w:t>等课程。</w:t>
            </w:r>
          </w:p>
          <w:p>
            <w:pPr>
              <w:numPr>
                <w:ilvl w:val="0"/>
                <w:numId w:val="0"/>
              </w:numPr>
              <w:spacing w:line="220" w:lineRule="exact"/>
              <w:ind w:leftChars="0"/>
              <w:jc w:val="left"/>
              <w:rPr>
                <w:rFonts w:ascii="等线" w:hAnsi="等线" w:eastAsia="等线" w:cs="等线"/>
                <w:kern w:val="0"/>
                <w:sz w:val="16"/>
                <w:szCs w:val="16"/>
              </w:rPr>
            </w:pPr>
          </w:p>
        </w:tc>
      </w:tr>
    </w:tbl>
    <w:p>
      <w:pPr>
        <w:spacing w:after="0"/>
        <w:sectPr>
          <w:pgSz w:w="11910" w:h="16840"/>
          <w:pgMar w:top="1280" w:right="1040" w:bottom="1140" w:left="1020" w:header="0" w:footer="945" w:gutter="0"/>
          <w:cols w:space="720" w:num="1"/>
        </w:sectPr>
      </w:pPr>
    </w:p>
    <w:p>
      <w:pPr>
        <w:pStyle w:val="3"/>
        <w:spacing w:before="55" w:line="451" w:lineRule="auto"/>
        <w:ind w:right="129" w:firstLine="480"/>
        <w:jc w:val="both"/>
      </w:pPr>
      <w:r>
        <w:t>由于</w:t>
      </w:r>
      <w:r>
        <w:rPr>
          <w:rFonts w:hint="eastAsia"/>
          <w:lang w:val="en-US" w:eastAsia="zh-CN"/>
        </w:rPr>
        <w:t>英才</w:t>
      </w:r>
      <w:r>
        <w:t>班课程的深度与考试试题难度都高于普通班课程，为保证成绩水平的一致性与公平性，允许</w:t>
      </w:r>
      <w:r>
        <w:rPr>
          <w:rFonts w:hint="eastAsia"/>
          <w:lang w:val="en-US" w:eastAsia="zh-CN"/>
        </w:rPr>
        <w:t>英才</w:t>
      </w:r>
      <w:r>
        <w:t>班课程任课教师根据实际情况适当上调学生成绩。建议方案是使上调后的学生平均成绩与相应普通班的平均成绩大体持平。</w:t>
      </w:r>
    </w:p>
    <w:p>
      <w:pPr>
        <w:pStyle w:val="2"/>
        <w:spacing w:line="326" w:lineRule="exact"/>
      </w:pPr>
      <w:r>
        <w:t>六、资源支持</w:t>
      </w:r>
    </w:p>
    <w:p>
      <w:pPr>
        <w:pStyle w:val="3"/>
        <w:spacing w:before="198" w:line="357" w:lineRule="auto"/>
        <w:ind w:right="235" w:firstLine="480"/>
      </w:pPr>
      <w:r>
        <w:rPr>
          <w:rFonts w:hint="eastAsia" w:ascii="Arial Unicode MS" w:eastAsia="Arial Unicode MS"/>
        </w:rPr>
        <w:t>1</w:t>
      </w:r>
      <w:r>
        <w:t>、教学副系主任分管专业导师的安排工作，教授担任班主任并进行学业规划指导，</w:t>
      </w:r>
      <w:r>
        <w:rPr>
          <w:rFonts w:hint="eastAsia"/>
          <w:lang w:val="en-US" w:eastAsia="zh-CN"/>
        </w:rPr>
        <w:t>班主任每月至少和同学们开一次班会，了解同学们的学习情况；</w:t>
      </w:r>
      <w:r>
        <w:t>系主任每个学期与</w:t>
      </w:r>
      <w:r>
        <w:rPr>
          <w:rFonts w:hint="eastAsia"/>
          <w:lang w:val="en-US" w:eastAsia="zh-CN"/>
        </w:rPr>
        <w:t>英才</w:t>
      </w:r>
      <w:r>
        <w:t>班学生至少座谈一次。</w:t>
      </w:r>
    </w:p>
    <w:p>
      <w:pPr>
        <w:pStyle w:val="3"/>
        <w:spacing w:before="120" w:line="448" w:lineRule="auto"/>
        <w:ind w:right="129" w:firstLine="480"/>
        <w:jc w:val="both"/>
      </w:pPr>
      <w:r>
        <w:t>进入</w:t>
      </w:r>
      <w:r>
        <w:rPr>
          <w:rFonts w:hint="eastAsia"/>
          <w:lang w:val="en-US" w:eastAsia="zh-CN"/>
        </w:rPr>
        <w:t>英才</w:t>
      </w:r>
      <w:r>
        <w:t>班的学生配备学术导师，学术导师可在数学系和深圳国际数学中心的全体教师范围内选择。每年秋季学期开学第三或第四周举行数学系学生和导师见面会，给学生和老师提供交流互动的机会。</w:t>
      </w:r>
      <w:r>
        <w:rPr>
          <w:rFonts w:hint="eastAsia"/>
          <w:lang w:val="en-US" w:eastAsia="zh-CN"/>
        </w:rPr>
        <w:t>英才</w:t>
      </w:r>
      <w:r>
        <w:t>班学生在充分了解老师研究方向的基础上，以师生双向选择的原</w:t>
      </w:r>
    </w:p>
    <w:p>
      <w:pPr>
        <w:pStyle w:val="3"/>
        <w:spacing w:line="373" w:lineRule="exact"/>
      </w:pPr>
      <w:r>
        <w:t xml:space="preserve">则确定学术导师。学术导师双选的截止时间一般是进入专业后第一学年的 </w:t>
      </w:r>
      <w:r>
        <w:rPr>
          <w:rFonts w:hint="eastAsia" w:ascii="Arial Unicode MS" w:eastAsia="Arial Unicode MS"/>
        </w:rPr>
        <w:t xml:space="preserve">9 </w:t>
      </w:r>
      <w:r>
        <w:t>月底。</w:t>
      </w:r>
    </w:p>
    <w:p>
      <w:pPr>
        <w:pStyle w:val="3"/>
        <w:spacing w:before="206"/>
        <w:ind w:left="593"/>
      </w:pPr>
      <w:r>
        <w:t>学生的学术导师应负责为学生答疑解惑。</w:t>
      </w:r>
    </w:p>
    <w:p>
      <w:pPr>
        <w:pStyle w:val="3"/>
        <w:spacing w:before="12"/>
        <w:ind w:left="0"/>
        <w:rPr>
          <w:sz w:val="20"/>
        </w:rPr>
      </w:pPr>
    </w:p>
    <w:p>
      <w:pPr>
        <w:pStyle w:val="3"/>
        <w:spacing w:line="448" w:lineRule="auto"/>
        <w:ind w:right="129" w:firstLine="480"/>
      </w:pPr>
      <w:r>
        <w:t>鼓励学生在老师指导下自发组织读书班或研讨班。组织形式上可以与本科生三年级的研究项目结合。</w:t>
      </w:r>
    </w:p>
    <w:p>
      <w:pPr>
        <w:pStyle w:val="3"/>
        <w:spacing w:line="372" w:lineRule="exact"/>
        <w:ind w:left="593"/>
      </w:pPr>
      <w:r>
        <w:rPr>
          <w:rFonts w:hint="eastAsia" w:ascii="Arial Unicode MS" w:eastAsia="Arial Unicode MS"/>
        </w:rPr>
        <w:t>2</w:t>
      </w:r>
      <w:r>
        <w:t>、为</w:t>
      </w:r>
      <w:r>
        <w:rPr>
          <w:rFonts w:hint="eastAsia"/>
          <w:lang w:val="en-US" w:eastAsia="zh-CN"/>
        </w:rPr>
        <w:t>英才</w:t>
      </w:r>
      <w:r>
        <w:t>班学生的国内外交流项目、图书资料采购以及各种学术相关交流活动（例如</w:t>
      </w:r>
    </w:p>
    <w:p>
      <w:pPr>
        <w:pStyle w:val="3"/>
        <w:spacing w:before="206"/>
      </w:pPr>
      <w:r>
        <w:t>与国内外知名数学家座谈）等提供专项经费支持。</w:t>
      </w:r>
    </w:p>
    <w:p>
      <w:pPr>
        <w:pStyle w:val="3"/>
        <w:spacing w:before="3"/>
        <w:ind w:left="0"/>
        <w:rPr>
          <w:sz w:val="17"/>
        </w:rPr>
      </w:pPr>
    </w:p>
    <w:p>
      <w:pPr>
        <w:pStyle w:val="3"/>
        <w:spacing w:line="331" w:lineRule="auto"/>
        <w:ind w:right="142" w:firstLine="480"/>
      </w:pPr>
      <w:r>
        <w:rPr>
          <w:rFonts w:hint="eastAsia" w:ascii="Arial Unicode MS" w:eastAsia="Arial Unicode MS"/>
        </w:rPr>
        <w:t xml:space="preserve">3. </w:t>
      </w:r>
      <w:r>
        <w:rPr>
          <w:spacing w:val="-4"/>
        </w:rPr>
        <w:t>针对</w:t>
      </w:r>
      <w:r>
        <w:rPr>
          <w:rFonts w:hint="eastAsia"/>
          <w:spacing w:val="-4"/>
          <w:lang w:val="en-US" w:eastAsia="zh-CN"/>
        </w:rPr>
        <w:t>英才</w:t>
      </w:r>
      <w:r>
        <w:rPr>
          <w:spacing w:val="-4"/>
        </w:rPr>
        <w:t>班学生设置高端课程。此类课程原则上应邀请国内外知名教授讲授，每门</w:t>
      </w:r>
      <w:r>
        <w:rPr>
          <w:spacing w:val="-19"/>
        </w:rPr>
        <w:t xml:space="preserve">课持续 </w:t>
      </w:r>
      <w:r>
        <w:rPr>
          <w:rFonts w:hint="eastAsia" w:ascii="Arial Unicode MS" w:eastAsia="Arial Unicode MS"/>
        </w:rPr>
        <w:t xml:space="preserve">1-2 </w:t>
      </w:r>
      <w:r>
        <w:rPr>
          <w:spacing w:val="-1"/>
        </w:rPr>
        <w:t>个月。课程授课人选必要时应由</w:t>
      </w:r>
      <w:r>
        <w:rPr>
          <w:rFonts w:hint="eastAsia"/>
          <w:spacing w:val="-1"/>
          <w:lang w:val="en-US" w:eastAsia="zh-CN"/>
        </w:rPr>
        <w:t>英才</w:t>
      </w:r>
      <w:r>
        <w:rPr>
          <w:spacing w:val="-1"/>
        </w:rPr>
        <w:t>班管理委员会选择决定。邀请菲尔兹奖得主</w:t>
      </w:r>
      <w:r>
        <w:rPr>
          <w:rFonts w:hint="eastAsia" w:ascii="Arial Unicode MS" w:eastAsia="Arial Unicode MS"/>
        </w:rPr>
        <w:t xml:space="preserve">Efim Zelmanov </w:t>
      </w:r>
      <w:r>
        <w:rPr>
          <w:spacing w:val="-1"/>
        </w:rPr>
        <w:t>教授每年为学生至少讲授一门短期课程。</w:t>
      </w:r>
    </w:p>
    <w:sectPr>
      <w:pgSz w:w="11910" w:h="16840"/>
      <w:pgMar w:top="1280" w:right="1040" w:bottom="1140" w:left="1020" w:header="0" w:footer="94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3838575</wp:posOffset>
              </wp:positionH>
              <wp:positionV relativeFrom="page">
                <wp:posOffset>9952355</wp:posOffset>
              </wp:positionV>
              <wp:extent cx="114935" cy="1790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79070"/>
                      </a:xfrm>
                      <a:prstGeom prst="rect">
                        <a:avLst/>
                      </a:prstGeom>
                      <a:noFill/>
                      <a:ln>
                        <a:noFill/>
                      </a:ln>
                    </wps:spPr>
                    <wps:txbx>
                      <w:txbxContent>
                        <w:p>
                          <w:pPr>
                            <w:spacing w:before="0" w:line="281" w:lineRule="exact"/>
                            <w:ind w:left="40" w:right="0" w:firstLine="0"/>
                            <w:jc w:val="left"/>
                            <w:rPr>
                              <w:rFonts w:ascii="Arial Unicode MS"/>
                              <w:sz w:val="18"/>
                            </w:rPr>
                          </w:pPr>
                          <w:r>
                            <w:fldChar w:fldCharType="begin"/>
                          </w:r>
                          <w:r>
                            <w:rPr>
                              <w:rFonts w:ascii="Arial Unicode MS"/>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2.25pt;margin-top:783.65pt;height:14.1pt;width:9.05pt;mso-position-horizontal-relative:page;mso-position-vertical-relative:page;z-index:-251657216;mso-width-relative:page;mso-height-relative:page;" filled="f" stroked="f" coordsize="21600,21600" o:gfxdata="UEsDBAoAAAAAAIdO4kAAAAAAAAAAAAAAAAAEAAAAZHJzL1BLAwQUAAAACACHTuJAgEwQ2NoAAAAN&#10;AQAADwAAAGRycy9kb3ducmV2LnhtbE2Py07DMBBF90j8gzVI7KjdQAwNcSqEYIWESMOCpRNPE6vx&#10;OMTug7/HXcFy5h7dOVOuT25kB5yD9aRguRDAkDpvLPUKPpvXmwdgIWoyevSECn4wwLq6vCh1YfyR&#10;ajxsYs9SCYVCKxhinArOQzeg02HhJ6SUbf3sdEzj3HMz62MqdyPPhJDcaUvpwqAnfB6w2232TsHT&#10;F9Uv9vu9/ai3tW2alaA3uVPq+mopHoFFPMU/GM76SR2q5NT6PZnARgVS3OUJTUEu72+BJURmmQTW&#10;nlerPAdelfz/F9UvUEsDBBQAAAAIAIdO4kDmE82sugEAAHEDAAAOAAAAZHJzL2Uyb0RvYy54bWyt&#10;U0tu2zAQ3RfoHQjua0pp2iSC5QCFkaBA0RZIcwCaIi0C/GFIW/IF2ht01U33PZfP0SEtO59usuiG&#10;Gg6Hb957Q82vR2vIVkLU3rW0nlWUSCd8p926pfffbt5cUhITdx033smW7mSk14vXr+ZDaOSZ773p&#10;JBAEcbEZQkv7lELDWBS9tDzOfJAOD5UHyxNuYc064AOiW8POquo9Gzx0AbyQMWJ2eTikEyK8BNAr&#10;pYVcerGx0qUDKkjDE0qKvQ6RLgpbpaRIX5SKMhHTUlSayopNMF7llS3mvFkDD70WEwX+EgrPNFmu&#10;HTY9QS154mQD+h8oqwX46FWaCW/ZQUhxBFXU1TNv7noeZNGCVsdwMj3+P1jxefsViO7wJVDiuMWB&#10;73/+2P/6s//9ndTZniHEBqvuAtal8YMfc+mUj5jMqkcFNn9RD8FzNHd3MleOiYh8qT6/evuOEoFH&#10;9cVVdVHMZw+XA8R0K70lOWgp4OyKpXz7KSZsiKXHktzL+RttTJmfcU8SWJgzLDM/MMxRGlfjRHvl&#10;ux2qMR8dOplfxTGAY7A6BpsAet0jnaK5QOIkCpnp1eRRP96Xxg9/yu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EwQ2NoAAAANAQAADwAAAAAAAAABACAAAAAiAAAAZHJzL2Rvd25yZXYueG1sUEsB&#10;AhQAFAAAAAgAh07iQOYTzay6AQAAcQMAAA4AAAAAAAAAAQAgAAAAKQEAAGRycy9lMm9Eb2MueG1s&#10;UEsFBgAAAAAGAAYAWQEAAFUFAAAAAA==&#10;">
              <v:fill on="f" focussize="0,0"/>
              <v:stroke on="f"/>
              <v:imagedata o:title=""/>
              <o:lock v:ext="edit" aspectratio="f"/>
              <v:textbox inset="0mm,0mm,0mm,0mm">
                <w:txbxContent>
                  <w:p>
                    <w:pPr>
                      <w:spacing w:before="0" w:line="281" w:lineRule="exact"/>
                      <w:ind w:left="40" w:right="0" w:firstLine="0"/>
                      <w:jc w:val="left"/>
                      <w:rPr>
                        <w:rFonts w:ascii="Arial Unicode MS"/>
                        <w:sz w:val="18"/>
                      </w:rPr>
                    </w:pPr>
                    <w:r>
                      <w:fldChar w:fldCharType="begin"/>
                    </w:r>
                    <w:r>
                      <w:rPr>
                        <w:rFonts w:ascii="Arial Unicode MS"/>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208" w:hanging="616"/>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064" w:hanging="616"/>
      </w:pPr>
      <w:rPr>
        <w:rFonts w:hint="default"/>
        <w:lang w:val="zh-CN" w:eastAsia="zh-CN" w:bidi="zh-CN"/>
      </w:rPr>
    </w:lvl>
    <w:lvl w:ilvl="2" w:tentative="0">
      <w:start w:val="0"/>
      <w:numFmt w:val="bullet"/>
      <w:lvlText w:val="•"/>
      <w:lvlJc w:val="left"/>
      <w:pPr>
        <w:ind w:left="2929" w:hanging="616"/>
      </w:pPr>
      <w:rPr>
        <w:rFonts w:hint="default"/>
        <w:lang w:val="zh-CN" w:eastAsia="zh-CN" w:bidi="zh-CN"/>
      </w:rPr>
    </w:lvl>
    <w:lvl w:ilvl="3" w:tentative="0">
      <w:start w:val="0"/>
      <w:numFmt w:val="bullet"/>
      <w:lvlText w:val="•"/>
      <w:lvlJc w:val="left"/>
      <w:pPr>
        <w:ind w:left="3793" w:hanging="616"/>
      </w:pPr>
      <w:rPr>
        <w:rFonts w:hint="default"/>
        <w:lang w:val="zh-CN" w:eastAsia="zh-CN" w:bidi="zh-CN"/>
      </w:rPr>
    </w:lvl>
    <w:lvl w:ilvl="4" w:tentative="0">
      <w:start w:val="0"/>
      <w:numFmt w:val="bullet"/>
      <w:lvlText w:val="•"/>
      <w:lvlJc w:val="left"/>
      <w:pPr>
        <w:ind w:left="4658" w:hanging="616"/>
      </w:pPr>
      <w:rPr>
        <w:rFonts w:hint="default"/>
        <w:lang w:val="zh-CN" w:eastAsia="zh-CN" w:bidi="zh-CN"/>
      </w:rPr>
    </w:lvl>
    <w:lvl w:ilvl="5" w:tentative="0">
      <w:start w:val="0"/>
      <w:numFmt w:val="bullet"/>
      <w:lvlText w:val="•"/>
      <w:lvlJc w:val="left"/>
      <w:pPr>
        <w:ind w:left="5523" w:hanging="616"/>
      </w:pPr>
      <w:rPr>
        <w:rFonts w:hint="default"/>
        <w:lang w:val="zh-CN" w:eastAsia="zh-CN" w:bidi="zh-CN"/>
      </w:rPr>
    </w:lvl>
    <w:lvl w:ilvl="6" w:tentative="0">
      <w:start w:val="0"/>
      <w:numFmt w:val="bullet"/>
      <w:lvlText w:val="•"/>
      <w:lvlJc w:val="left"/>
      <w:pPr>
        <w:ind w:left="6387" w:hanging="616"/>
      </w:pPr>
      <w:rPr>
        <w:rFonts w:hint="default"/>
        <w:lang w:val="zh-CN" w:eastAsia="zh-CN" w:bidi="zh-CN"/>
      </w:rPr>
    </w:lvl>
    <w:lvl w:ilvl="7" w:tentative="0">
      <w:start w:val="0"/>
      <w:numFmt w:val="bullet"/>
      <w:lvlText w:val="•"/>
      <w:lvlJc w:val="left"/>
      <w:pPr>
        <w:ind w:left="7252" w:hanging="616"/>
      </w:pPr>
      <w:rPr>
        <w:rFonts w:hint="default"/>
        <w:lang w:val="zh-CN" w:eastAsia="zh-CN" w:bidi="zh-CN"/>
      </w:rPr>
    </w:lvl>
    <w:lvl w:ilvl="8" w:tentative="0">
      <w:start w:val="0"/>
      <w:numFmt w:val="bullet"/>
      <w:lvlText w:val="•"/>
      <w:lvlJc w:val="left"/>
      <w:pPr>
        <w:ind w:left="8117" w:hanging="616"/>
      </w:pPr>
      <w:rPr>
        <w:rFonts w:hint="default"/>
        <w:lang w:val="zh-CN" w:eastAsia="zh-CN" w:bidi="zh-CN"/>
      </w:rPr>
    </w:lvl>
  </w:abstractNum>
  <w:abstractNum w:abstractNumId="1">
    <w:nsid w:val="26A2D38E"/>
    <w:multiLevelType w:val="singleLevel"/>
    <w:tmpl w:val="26A2D38E"/>
    <w:lvl w:ilvl="0" w:tentative="0">
      <w:start w:val="1"/>
      <w:numFmt w:val="bullet"/>
      <w:lvlText w:val=""/>
      <w:lvlJc w:val="left"/>
      <w:pPr>
        <w:ind w:left="420" w:hanging="420"/>
      </w:pPr>
      <w:rPr>
        <w:rFonts w:hint="default" w:ascii="Wingdings" w:hAnsi="Wingdings"/>
      </w:rPr>
    </w:lvl>
  </w:abstractNum>
  <w:abstractNum w:abstractNumId="2">
    <w:nsid w:val="59ADCABA"/>
    <w:multiLevelType w:val="multilevel"/>
    <w:tmpl w:val="59ADCABA"/>
    <w:lvl w:ilvl="0" w:tentative="0">
      <w:start w:val="1"/>
      <w:numFmt w:val="decimal"/>
      <w:lvlText w:val="（%1）"/>
      <w:lvlJc w:val="left"/>
      <w:pPr>
        <w:ind w:left="1272" w:hanging="680"/>
        <w:jc w:val="left"/>
      </w:pPr>
      <w:rPr>
        <w:rFonts w:hint="default" w:ascii="仿宋" w:hAnsi="仿宋" w:eastAsia="仿宋" w:cs="仿宋"/>
        <w:w w:val="100"/>
        <w:sz w:val="24"/>
        <w:szCs w:val="24"/>
        <w:lang w:val="zh-CN" w:eastAsia="zh-CN" w:bidi="zh-CN"/>
      </w:rPr>
    </w:lvl>
    <w:lvl w:ilvl="1" w:tentative="0">
      <w:start w:val="0"/>
      <w:numFmt w:val="bullet"/>
      <w:lvlText w:val="•"/>
      <w:lvlJc w:val="left"/>
      <w:pPr>
        <w:ind w:left="2136" w:hanging="680"/>
      </w:pPr>
      <w:rPr>
        <w:rFonts w:hint="default"/>
        <w:lang w:val="zh-CN" w:eastAsia="zh-CN" w:bidi="zh-CN"/>
      </w:rPr>
    </w:lvl>
    <w:lvl w:ilvl="2" w:tentative="0">
      <w:start w:val="0"/>
      <w:numFmt w:val="bullet"/>
      <w:lvlText w:val="•"/>
      <w:lvlJc w:val="left"/>
      <w:pPr>
        <w:ind w:left="2993" w:hanging="680"/>
      </w:pPr>
      <w:rPr>
        <w:rFonts w:hint="default"/>
        <w:lang w:val="zh-CN" w:eastAsia="zh-CN" w:bidi="zh-CN"/>
      </w:rPr>
    </w:lvl>
    <w:lvl w:ilvl="3" w:tentative="0">
      <w:start w:val="0"/>
      <w:numFmt w:val="bullet"/>
      <w:lvlText w:val="•"/>
      <w:lvlJc w:val="left"/>
      <w:pPr>
        <w:ind w:left="3849" w:hanging="680"/>
      </w:pPr>
      <w:rPr>
        <w:rFonts w:hint="default"/>
        <w:lang w:val="zh-CN" w:eastAsia="zh-CN" w:bidi="zh-CN"/>
      </w:rPr>
    </w:lvl>
    <w:lvl w:ilvl="4" w:tentative="0">
      <w:start w:val="0"/>
      <w:numFmt w:val="bullet"/>
      <w:lvlText w:val="•"/>
      <w:lvlJc w:val="left"/>
      <w:pPr>
        <w:ind w:left="4706" w:hanging="680"/>
      </w:pPr>
      <w:rPr>
        <w:rFonts w:hint="default"/>
        <w:lang w:val="zh-CN" w:eastAsia="zh-CN" w:bidi="zh-CN"/>
      </w:rPr>
    </w:lvl>
    <w:lvl w:ilvl="5" w:tentative="0">
      <w:start w:val="0"/>
      <w:numFmt w:val="bullet"/>
      <w:lvlText w:val="•"/>
      <w:lvlJc w:val="left"/>
      <w:pPr>
        <w:ind w:left="5563" w:hanging="680"/>
      </w:pPr>
      <w:rPr>
        <w:rFonts w:hint="default"/>
        <w:lang w:val="zh-CN" w:eastAsia="zh-CN" w:bidi="zh-CN"/>
      </w:rPr>
    </w:lvl>
    <w:lvl w:ilvl="6" w:tentative="0">
      <w:start w:val="0"/>
      <w:numFmt w:val="bullet"/>
      <w:lvlText w:val="•"/>
      <w:lvlJc w:val="left"/>
      <w:pPr>
        <w:ind w:left="6419" w:hanging="680"/>
      </w:pPr>
      <w:rPr>
        <w:rFonts w:hint="default"/>
        <w:lang w:val="zh-CN" w:eastAsia="zh-CN" w:bidi="zh-CN"/>
      </w:rPr>
    </w:lvl>
    <w:lvl w:ilvl="7" w:tentative="0">
      <w:start w:val="0"/>
      <w:numFmt w:val="bullet"/>
      <w:lvlText w:val="•"/>
      <w:lvlJc w:val="left"/>
      <w:pPr>
        <w:ind w:left="7276" w:hanging="680"/>
      </w:pPr>
      <w:rPr>
        <w:rFonts w:hint="default"/>
        <w:lang w:val="zh-CN" w:eastAsia="zh-CN" w:bidi="zh-CN"/>
      </w:rPr>
    </w:lvl>
    <w:lvl w:ilvl="8" w:tentative="0">
      <w:start w:val="0"/>
      <w:numFmt w:val="bullet"/>
      <w:lvlText w:val="•"/>
      <w:lvlJc w:val="left"/>
      <w:pPr>
        <w:ind w:left="8133" w:hanging="680"/>
      </w:pPr>
      <w:rPr>
        <w:rFonts w:hint="default"/>
        <w:lang w:val="zh-CN" w:eastAsia="zh-CN" w:bidi="zh-C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NGJjMjIyNmJlOTA1MWEyMzA0YTEyM2RkMjVmMTIifQ=="/>
  </w:docVars>
  <w:rsids>
    <w:rsidRoot w:val="00000000"/>
    <w:rsid w:val="00D26D9F"/>
    <w:rsid w:val="027E51ED"/>
    <w:rsid w:val="02ED39C8"/>
    <w:rsid w:val="0A690774"/>
    <w:rsid w:val="0C0202E2"/>
    <w:rsid w:val="0DD30BE2"/>
    <w:rsid w:val="20B45635"/>
    <w:rsid w:val="27F37970"/>
    <w:rsid w:val="2ECE077F"/>
    <w:rsid w:val="3104717A"/>
    <w:rsid w:val="314448C9"/>
    <w:rsid w:val="33E23A10"/>
    <w:rsid w:val="36EF28D7"/>
    <w:rsid w:val="448A172A"/>
    <w:rsid w:val="45C41105"/>
    <w:rsid w:val="45E3065D"/>
    <w:rsid w:val="494269E8"/>
    <w:rsid w:val="4C7F658E"/>
    <w:rsid w:val="52D20256"/>
    <w:rsid w:val="53534D06"/>
    <w:rsid w:val="5618109F"/>
    <w:rsid w:val="5B5A57E6"/>
    <w:rsid w:val="5C7D6F72"/>
    <w:rsid w:val="5D0C7173"/>
    <w:rsid w:val="5F8F01CD"/>
    <w:rsid w:val="5F9756ED"/>
    <w:rsid w:val="737E37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756"/>
      <w:outlineLvl w:val="1"/>
    </w:pPr>
    <w:rPr>
      <w:rFonts w:ascii="黑体" w:hAnsi="黑体" w:eastAsia="黑体" w:cs="黑体"/>
      <w:b/>
      <w:bCs/>
      <w:sz w:val="32"/>
      <w:szCs w:val="32"/>
      <w:lang w:val="zh-CN" w:eastAsia="zh-CN" w:bidi="zh-CN"/>
    </w:rPr>
  </w:style>
  <w:style w:type="character" w:default="1" w:styleId="6">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2"/>
    </w:pPr>
    <w:rPr>
      <w:rFonts w:ascii="仿宋" w:hAnsi="仿宋" w:eastAsia="仿宋" w:cs="仿宋"/>
      <w:sz w:val="24"/>
      <w:szCs w:val="24"/>
      <w:lang w:val="zh-CN" w:eastAsia="zh-CN" w:bidi="zh-CN"/>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58"/>
      <w:ind w:left="1208" w:hanging="616"/>
    </w:pPr>
    <w:rPr>
      <w:rFonts w:ascii="仿宋" w:hAnsi="仿宋" w:eastAsia="仿宋" w:cs="仿宋"/>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2522</Words>
  <Characters>2584</Characters>
  <TotalTime>4</TotalTime>
  <ScaleCrop>false</ScaleCrop>
  <LinksUpToDate>false</LinksUpToDate>
  <CharactersWithSpaces>2637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2020-12-01T03:33:00Z</dcterms:created>
  <dc:creator>Microsoft Office User</dc:creator>
  <cp:lastModifiedBy>曲曲</cp:lastModifiedBy>
  <dcterms:modified xsi:type="dcterms:W3CDTF">2022-12-02T06:30:51Z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2010</vt:lpwstr>
  </property>
  <property fmtid="{D5CDD505-2E9C-101B-9397-08002B2CF9AE}" pid="4" name="LastSaved">
    <vt:filetime>2020-12-01T00:00:00Z</vt:filetime>
  </property>
  <property fmtid="{D5CDD505-2E9C-101B-9397-08002B2CF9AE}" pid="5" name="KSOProductBuildVer">
    <vt:lpwstr>2052-11.1.0.12763</vt:lpwstr>
  </property>
  <property fmtid="{D5CDD505-2E9C-101B-9397-08002B2CF9AE}" pid="6" name="ICV">
    <vt:lpwstr>BF1C6456F3734D56A0EBA7313D6655E2</vt:lpwstr>
  </property>
</Properties>
</file>